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2AE9" w14:textId="77777777" w:rsidR="00C77927" w:rsidRPr="00892B7D" w:rsidRDefault="00C77927">
      <w:pPr>
        <w:rPr>
          <w:rFonts w:cstheme="minorHAnsi"/>
        </w:rPr>
      </w:pPr>
      <w:bookmarkStart w:id="0" w:name="_GoBack"/>
      <w:bookmarkEnd w:id="0"/>
      <w:r w:rsidRPr="00892B7D">
        <w:rPr>
          <w:rFonts w:cstheme="minorHAnsi"/>
        </w:rPr>
        <w:t xml:space="preserve">Erik </w:t>
      </w:r>
      <w:proofErr w:type="spellStart"/>
      <w:r w:rsidRPr="00892B7D">
        <w:rPr>
          <w:rFonts w:cstheme="minorHAnsi"/>
        </w:rPr>
        <w:t>Oatman</w:t>
      </w:r>
      <w:proofErr w:type="spellEnd"/>
    </w:p>
    <w:p w14:paraId="5C4F0941" w14:textId="77777777" w:rsidR="00C77927" w:rsidRPr="00892B7D" w:rsidRDefault="00C77927">
      <w:pPr>
        <w:rPr>
          <w:rFonts w:cstheme="minorHAnsi"/>
        </w:rPr>
      </w:pPr>
      <w:r w:rsidRPr="00892B7D">
        <w:rPr>
          <w:rFonts w:cstheme="minorHAnsi"/>
        </w:rPr>
        <w:t xml:space="preserve">Online Clin </w:t>
      </w:r>
      <w:proofErr w:type="spellStart"/>
      <w:r w:rsidRPr="00892B7D">
        <w:rPr>
          <w:rFonts w:cstheme="minorHAnsi"/>
        </w:rPr>
        <w:t>Corr</w:t>
      </w:r>
      <w:proofErr w:type="spellEnd"/>
    </w:p>
    <w:p w14:paraId="5F22EFEF" w14:textId="77777777" w:rsidR="00C77927" w:rsidRPr="00892B7D" w:rsidRDefault="00C77927">
      <w:pPr>
        <w:rPr>
          <w:rFonts w:cstheme="minorHAnsi"/>
        </w:rPr>
      </w:pPr>
      <w:proofErr w:type="spellStart"/>
      <w:r w:rsidRPr="00892B7D">
        <w:rPr>
          <w:rFonts w:cstheme="minorHAnsi"/>
        </w:rPr>
        <w:t>Wk</w:t>
      </w:r>
      <w:proofErr w:type="spellEnd"/>
      <w:r w:rsidRPr="00892B7D">
        <w:rPr>
          <w:rFonts w:cstheme="minorHAnsi"/>
        </w:rPr>
        <w:t xml:space="preserve"> 5 LTC</w:t>
      </w:r>
    </w:p>
    <w:p w14:paraId="5A5B7E30" w14:textId="77777777" w:rsidR="00C77927" w:rsidRPr="00892B7D" w:rsidRDefault="00C77927">
      <w:pPr>
        <w:rPr>
          <w:rFonts w:cstheme="minorHAnsi"/>
        </w:rPr>
      </w:pPr>
      <w:r w:rsidRPr="00892B7D">
        <w:rPr>
          <w:rFonts w:cstheme="minorHAnsi"/>
        </w:rPr>
        <w:t>Dr. Davidson</w:t>
      </w:r>
    </w:p>
    <w:p w14:paraId="0304D387" w14:textId="77777777" w:rsidR="00C77927" w:rsidRPr="00892B7D" w:rsidRDefault="00C77927">
      <w:pPr>
        <w:rPr>
          <w:rFonts w:cstheme="minorHAnsi"/>
        </w:rPr>
      </w:pPr>
    </w:p>
    <w:p w14:paraId="6B339E95" w14:textId="77777777" w:rsidR="00C77927" w:rsidRPr="00892B7D" w:rsidRDefault="00C77927">
      <w:pPr>
        <w:rPr>
          <w:rFonts w:cstheme="minorHAnsi"/>
          <w:b/>
          <w:bCs/>
        </w:rPr>
      </w:pPr>
      <w:r w:rsidRPr="00892B7D">
        <w:rPr>
          <w:rFonts w:cstheme="minorHAnsi"/>
          <w:b/>
          <w:bCs/>
        </w:rPr>
        <w:t>Second HW Assignment:</w:t>
      </w:r>
    </w:p>
    <w:p w14:paraId="3657B158" w14:textId="77777777" w:rsidR="00C77927" w:rsidRPr="00892B7D" w:rsidRDefault="00C77927">
      <w:pPr>
        <w:rPr>
          <w:rFonts w:cstheme="minorHAnsi"/>
          <w:b/>
          <w:bCs/>
        </w:rPr>
      </w:pPr>
    </w:p>
    <w:p w14:paraId="5D3B4712" w14:textId="77777777" w:rsidR="00C77927" w:rsidRPr="00892B7D" w:rsidRDefault="00C77927">
      <w:pPr>
        <w:rPr>
          <w:rFonts w:cstheme="minorHAnsi"/>
          <w:b/>
          <w:bCs/>
        </w:rPr>
      </w:pPr>
      <w:r w:rsidRPr="00892B7D">
        <w:rPr>
          <w:rFonts w:cstheme="minorHAnsi"/>
          <w:b/>
          <w:bCs/>
        </w:rPr>
        <w:t>1) Analgesia in CKD: How to treat it/what to avoid:</w:t>
      </w:r>
    </w:p>
    <w:p w14:paraId="46227008" w14:textId="77777777" w:rsidR="00C77927" w:rsidRPr="00892B7D" w:rsidRDefault="00C77927" w:rsidP="00EF6B3C">
      <w:pPr>
        <w:rPr>
          <w:rFonts w:eastAsia="Times New Roman" w:cstheme="minorHAnsi"/>
          <w:color w:val="232323"/>
          <w:shd w:val="clear" w:color="auto" w:fill="FFFFFF"/>
        </w:rPr>
      </w:pPr>
      <w:r w:rsidRPr="00892B7D">
        <w:rPr>
          <w:rFonts w:cstheme="minorHAnsi"/>
        </w:rPr>
        <w:tab/>
      </w:r>
      <w:r w:rsidR="00EF6B3C" w:rsidRPr="00892B7D">
        <w:rPr>
          <w:rFonts w:cstheme="minorHAnsi"/>
        </w:rPr>
        <w:t xml:space="preserve">When it comes to pain management </w:t>
      </w:r>
      <w:r w:rsidR="00FE064D" w:rsidRPr="00892B7D">
        <w:rPr>
          <w:rFonts w:cstheme="minorHAnsi"/>
        </w:rPr>
        <w:t>in CKD, drug selection is based on the nature of the pain (nociceptive vs. neuropathic pain), the severity of the pain, and the severity of the CKD.</w:t>
      </w:r>
    </w:p>
    <w:p w14:paraId="3230AB5D" w14:textId="77777777" w:rsidR="00C77927" w:rsidRPr="00892B7D" w:rsidRDefault="00C77927" w:rsidP="00C77927">
      <w:pPr>
        <w:rPr>
          <w:rFonts w:eastAsia="Times New Roman" w:cstheme="minorHAnsi"/>
        </w:rPr>
      </w:pPr>
      <w:r w:rsidRPr="00892B7D">
        <w:rPr>
          <w:rFonts w:eastAsia="Times New Roman" w:cstheme="minorHAnsi"/>
          <w:color w:val="232323"/>
          <w:shd w:val="clear" w:color="auto" w:fill="FFFFFF"/>
        </w:rPr>
        <w:tab/>
      </w:r>
      <w:r w:rsidR="00892B7D" w:rsidRPr="00FC6AD2">
        <w:rPr>
          <w:rFonts w:eastAsia="Times New Roman" w:cstheme="minorHAnsi"/>
          <w:b/>
          <w:bCs/>
          <w:i/>
          <w:iCs/>
          <w:color w:val="232323"/>
          <w:shd w:val="clear" w:color="auto" w:fill="FFFFFF"/>
        </w:rPr>
        <w:t>N</w:t>
      </w:r>
      <w:r w:rsidRPr="00FC6AD2">
        <w:rPr>
          <w:rFonts w:eastAsia="Times New Roman" w:cstheme="minorHAnsi"/>
          <w:b/>
          <w:bCs/>
          <w:i/>
          <w:iCs/>
          <w:color w:val="232323"/>
          <w:shd w:val="clear" w:color="auto" w:fill="FFFFFF"/>
        </w:rPr>
        <w:t>onp</w:t>
      </w:r>
      <w:r w:rsidR="007F6C7F" w:rsidRPr="00FC6AD2">
        <w:rPr>
          <w:rFonts w:eastAsia="Times New Roman" w:cstheme="minorHAnsi"/>
          <w:b/>
          <w:bCs/>
          <w:i/>
          <w:iCs/>
          <w:color w:val="232323"/>
          <w:shd w:val="clear" w:color="auto" w:fill="FFFFFF"/>
        </w:rPr>
        <w:t>h</w:t>
      </w:r>
      <w:r w:rsidRPr="00FC6AD2">
        <w:rPr>
          <w:rFonts w:eastAsia="Times New Roman" w:cstheme="minorHAnsi"/>
          <w:b/>
          <w:bCs/>
          <w:i/>
          <w:iCs/>
          <w:color w:val="232323"/>
          <w:shd w:val="clear" w:color="auto" w:fill="FFFFFF"/>
        </w:rPr>
        <w:t>armacologic approaches</w:t>
      </w:r>
      <w:r w:rsidRPr="00892B7D">
        <w:rPr>
          <w:rFonts w:eastAsia="Times New Roman" w:cstheme="minorHAnsi"/>
          <w:color w:val="232323"/>
          <w:shd w:val="clear" w:color="auto" w:fill="FFFFFF"/>
        </w:rPr>
        <w:t xml:space="preserve"> such as CBT are generally the same among CKD </w:t>
      </w:r>
      <w:r w:rsidR="00FE064D" w:rsidRPr="00892B7D">
        <w:rPr>
          <w:rFonts w:eastAsia="Times New Roman" w:cstheme="minorHAnsi"/>
          <w:color w:val="232323"/>
          <w:shd w:val="clear" w:color="auto" w:fill="FFFFFF"/>
        </w:rPr>
        <w:t>and non-CKD patient populations</w:t>
      </w:r>
      <w:r w:rsidR="00CA3265">
        <w:rPr>
          <w:rFonts w:eastAsia="Times New Roman" w:cstheme="minorHAnsi"/>
          <w:color w:val="232323"/>
          <w:shd w:val="clear" w:color="auto" w:fill="FFFFFF"/>
        </w:rPr>
        <w:t>,</w:t>
      </w:r>
      <w:r w:rsidR="00FE064D" w:rsidRPr="00892B7D">
        <w:rPr>
          <w:rFonts w:eastAsia="Times New Roman" w:cstheme="minorHAnsi"/>
          <w:color w:val="232323"/>
          <w:shd w:val="clear" w:color="auto" w:fill="FFFFFF"/>
        </w:rPr>
        <w:t xml:space="preserve"> </w:t>
      </w:r>
      <w:r w:rsidRPr="00892B7D">
        <w:rPr>
          <w:rFonts w:eastAsia="Times New Roman" w:cstheme="minorHAnsi"/>
          <w:color w:val="232323"/>
          <w:shd w:val="clear" w:color="auto" w:fill="FFFFFF"/>
        </w:rPr>
        <w:t>and should be considered first line in managing chronic pain. Unfortunately due to frailty, lack of cognitive ability, and time and energy devoted to dialysis and other health care demands</w:t>
      </w:r>
      <w:r w:rsidR="00892B7D">
        <w:rPr>
          <w:rFonts w:eastAsia="Times New Roman" w:cstheme="minorHAnsi"/>
          <w:color w:val="232323"/>
          <w:shd w:val="clear" w:color="auto" w:fill="FFFFFF"/>
        </w:rPr>
        <w:t>,</w:t>
      </w:r>
      <w:r w:rsidRPr="00892B7D">
        <w:rPr>
          <w:rFonts w:eastAsia="Times New Roman" w:cstheme="minorHAnsi"/>
          <w:color w:val="232323"/>
          <w:shd w:val="clear" w:color="auto" w:fill="FFFFFF"/>
        </w:rPr>
        <w:t xml:space="preserve"> CBT and other forms of nonpharmacologic pain management might not be a practical option</w:t>
      </w:r>
      <w:r w:rsidR="00892B7D">
        <w:rPr>
          <w:rFonts w:eastAsia="Times New Roman" w:cstheme="minorHAnsi"/>
          <w:color w:val="232323"/>
          <w:shd w:val="clear" w:color="auto" w:fill="FFFFFF"/>
        </w:rPr>
        <w:t xml:space="preserve"> for elderly CKD patients</w:t>
      </w:r>
      <w:r w:rsidRPr="00892B7D">
        <w:rPr>
          <w:rFonts w:eastAsia="Times New Roman" w:cstheme="minorHAnsi"/>
          <w:color w:val="232323"/>
          <w:shd w:val="clear" w:color="auto" w:fill="FFFFFF"/>
        </w:rPr>
        <w:t>, but it should be considered in those individuals where appropriate.</w:t>
      </w:r>
    </w:p>
    <w:p w14:paraId="102ADB11" w14:textId="77777777" w:rsidR="00907144" w:rsidRDefault="007F6C7F">
      <w:pPr>
        <w:rPr>
          <w:rFonts w:cstheme="minorHAnsi"/>
        </w:rPr>
      </w:pPr>
      <w:r w:rsidRPr="00892B7D">
        <w:rPr>
          <w:rFonts w:cstheme="minorHAnsi"/>
        </w:rPr>
        <w:tab/>
      </w:r>
      <w:r w:rsidR="00907144" w:rsidRPr="00FC6AD2">
        <w:rPr>
          <w:rFonts w:cstheme="minorHAnsi"/>
          <w:b/>
          <w:bCs/>
          <w:i/>
          <w:iCs/>
        </w:rPr>
        <w:t xml:space="preserve">Pharmacologic treatment of </w:t>
      </w:r>
      <w:r w:rsidR="00892B7D" w:rsidRPr="00FC6AD2">
        <w:rPr>
          <w:rFonts w:cstheme="minorHAnsi"/>
          <w:b/>
          <w:bCs/>
          <w:i/>
          <w:iCs/>
        </w:rPr>
        <w:t xml:space="preserve">pain in </w:t>
      </w:r>
      <w:r w:rsidR="00907144" w:rsidRPr="00FC6AD2">
        <w:rPr>
          <w:rFonts w:cstheme="minorHAnsi"/>
          <w:b/>
          <w:bCs/>
          <w:i/>
          <w:iCs/>
        </w:rPr>
        <w:t>mild to moderate CKD (&gt;30 mL/min/1.73m</w:t>
      </w:r>
      <w:r w:rsidR="00907144" w:rsidRPr="00FC6AD2">
        <w:rPr>
          <w:rFonts w:cstheme="minorHAnsi"/>
          <w:b/>
          <w:bCs/>
          <w:i/>
          <w:iCs/>
          <w:vertAlign w:val="superscript"/>
        </w:rPr>
        <w:t>2</w:t>
      </w:r>
      <w:r w:rsidR="00907144" w:rsidRPr="00FC6AD2">
        <w:rPr>
          <w:rFonts w:cstheme="minorHAnsi"/>
          <w:b/>
          <w:bCs/>
          <w:i/>
          <w:iCs/>
        </w:rPr>
        <w:t>):</w:t>
      </w:r>
      <w:r w:rsidR="00892B7D">
        <w:rPr>
          <w:rFonts w:cstheme="minorHAnsi"/>
        </w:rPr>
        <w:t xml:space="preserve"> </w:t>
      </w:r>
      <w:r w:rsidR="00907144" w:rsidRPr="00892B7D">
        <w:rPr>
          <w:rFonts w:cstheme="minorHAnsi"/>
        </w:rPr>
        <w:t>With the exception of NSAIDs, analgesia is similar to those of non-CKD patients. Low-dose NSAIDS are still acceptable for pts with GRF &gt;45 ml/min/1.73</w:t>
      </w:r>
      <w:r w:rsidR="00EF6B3C" w:rsidRPr="00892B7D">
        <w:rPr>
          <w:rFonts w:cstheme="minorHAnsi"/>
        </w:rPr>
        <w:t xml:space="preserve"> m</w:t>
      </w:r>
      <w:r w:rsidR="00EF6B3C" w:rsidRPr="00892B7D">
        <w:rPr>
          <w:rFonts w:cstheme="minorHAnsi"/>
          <w:vertAlign w:val="superscript"/>
        </w:rPr>
        <w:t>2</w:t>
      </w:r>
      <w:r w:rsidR="00EF6B3C" w:rsidRPr="00892B7D">
        <w:rPr>
          <w:rFonts w:cstheme="minorHAnsi"/>
        </w:rPr>
        <w:t xml:space="preserve"> but are reserved for acute pain, not chronic.</w:t>
      </w:r>
    </w:p>
    <w:p w14:paraId="5722CB34" w14:textId="77777777" w:rsidR="00892B7D" w:rsidRDefault="00892B7D">
      <w:pPr>
        <w:rPr>
          <w:rFonts w:cstheme="minorHAnsi"/>
        </w:rPr>
      </w:pPr>
      <w:r>
        <w:rPr>
          <w:rFonts w:cstheme="minorHAnsi"/>
        </w:rPr>
        <w:tab/>
      </w:r>
      <w:r w:rsidRPr="00FC6AD2">
        <w:rPr>
          <w:rFonts w:cstheme="minorHAnsi"/>
          <w:b/>
          <w:bCs/>
          <w:i/>
          <w:iCs/>
        </w:rPr>
        <w:t>Pharmacologic treatment of pain in advanced CKD (&lt;30 mL/min/1.73 m</w:t>
      </w:r>
      <w:r w:rsidRPr="00FC6AD2">
        <w:rPr>
          <w:rFonts w:cstheme="minorHAnsi"/>
          <w:b/>
          <w:bCs/>
          <w:i/>
          <w:iCs/>
          <w:vertAlign w:val="superscript"/>
        </w:rPr>
        <w:t>2</w:t>
      </w:r>
      <w:r w:rsidRPr="00FC6AD2">
        <w:rPr>
          <w:rFonts w:cstheme="minorHAnsi"/>
          <w:b/>
          <w:bCs/>
          <w:i/>
          <w:iCs/>
        </w:rPr>
        <w:t>):</w:t>
      </w:r>
      <w:r>
        <w:rPr>
          <w:rFonts w:cstheme="minorHAnsi"/>
        </w:rPr>
        <w:t xml:space="preserve"> UpToDate’s pharmacologic approach is adapted from the WHO’s analgesic ladder, involving a cautious, stepwise approach to analgesia based on severity of pain. Tier 1 pain</w:t>
      </w:r>
      <w:r w:rsidR="00AE261D">
        <w:rPr>
          <w:rFonts w:cstheme="minorHAnsi"/>
        </w:rPr>
        <w:t xml:space="preserve"> (mild)</w:t>
      </w:r>
      <w:r>
        <w:rPr>
          <w:rFonts w:cstheme="minorHAnsi"/>
        </w:rPr>
        <w:t xml:space="preserve"> is treated with nonopioid analgesia. T</w:t>
      </w:r>
      <w:r w:rsidR="00AE261D">
        <w:rPr>
          <w:rFonts w:cstheme="minorHAnsi"/>
        </w:rPr>
        <w:t>ie</w:t>
      </w:r>
      <w:r>
        <w:rPr>
          <w:rFonts w:cstheme="minorHAnsi"/>
        </w:rPr>
        <w:t>r 2 pain</w:t>
      </w:r>
      <w:r w:rsidR="00AE261D">
        <w:rPr>
          <w:rFonts w:cstheme="minorHAnsi"/>
        </w:rPr>
        <w:t xml:space="preserve"> (moderate)</w:t>
      </w:r>
      <w:r>
        <w:rPr>
          <w:rFonts w:cstheme="minorHAnsi"/>
        </w:rPr>
        <w:t xml:space="preserve"> is treated with weak opioids +/- </w:t>
      </w:r>
      <w:r w:rsidR="00AE261D">
        <w:rPr>
          <w:rFonts w:cstheme="minorHAnsi"/>
        </w:rPr>
        <w:t>nonopioid agents. Tier 3 pain (severe) is treated with strong opioids. It is modified in that codeine is not used and weaker opioids are foregone in favor of strong opioids.</w:t>
      </w:r>
    </w:p>
    <w:p w14:paraId="6CDA7449" w14:textId="77777777" w:rsidR="00FC6AD2" w:rsidRPr="00FC6AD2" w:rsidRDefault="00FC6AD2">
      <w:pPr>
        <w:rPr>
          <w:rFonts w:cstheme="minorHAnsi"/>
          <w:b/>
          <w:bCs/>
          <w:i/>
          <w:iCs/>
        </w:rPr>
      </w:pPr>
      <w:r>
        <w:rPr>
          <w:rFonts w:cstheme="minorHAnsi"/>
        </w:rPr>
        <w:tab/>
      </w:r>
      <w:r w:rsidRPr="00FC6AD2">
        <w:rPr>
          <w:rFonts w:cstheme="minorHAnsi"/>
          <w:b/>
          <w:bCs/>
          <w:i/>
          <w:iCs/>
        </w:rPr>
        <w:t xml:space="preserve">For nociceptive </w:t>
      </w:r>
      <w:r>
        <w:rPr>
          <w:rFonts w:cstheme="minorHAnsi"/>
          <w:b/>
          <w:bCs/>
          <w:i/>
          <w:iCs/>
        </w:rPr>
        <w:t>P</w:t>
      </w:r>
      <w:r w:rsidRPr="00FC6AD2">
        <w:rPr>
          <w:rFonts w:cstheme="minorHAnsi"/>
          <w:b/>
          <w:bCs/>
          <w:i/>
          <w:iCs/>
        </w:rPr>
        <w:t>ain:</w:t>
      </w:r>
      <w:r w:rsidR="00AE261D" w:rsidRPr="00FC6AD2">
        <w:rPr>
          <w:rFonts w:cstheme="minorHAnsi"/>
          <w:b/>
          <w:bCs/>
          <w:i/>
          <w:iCs/>
        </w:rPr>
        <w:tab/>
      </w:r>
    </w:p>
    <w:p w14:paraId="13AC1207" w14:textId="77777777" w:rsidR="00AE261D" w:rsidRDefault="00AE261D" w:rsidP="00FC6AD2">
      <w:pPr>
        <w:ind w:firstLine="720"/>
        <w:rPr>
          <w:rFonts w:cstheme="minorHAnsi"/>
        </w:rPr>
      </w:pPr>
      <w:r>
        <w:rPr>
          <w:rFonts w:cstheme="minorHAnsi"/>
        </w:rPr>
        <w:t>Acetaminophen is standard first line analgesia for nociceptive pain in CKD patients. It is relatively safe to give the same full doses to CKD as you would non-CKD patients.</w:t>
      </w:r>
    </w:p>
    <w:p w14:paraId="4B3C539C" w14:textId="77777777" w:rsidR="00AE261D" w:rsidRDefault="00AE261D">
      <w:pPr>
        <w:rPr>
          <w:rFonts w:cstheme="minorHAnsi"/>
        </w:rPr>
      </w:pPr>
      <w:r>
        <w:rPr>
          <w:rFonts w:cstheme="minorHAnsi"/>
        </w:rPr>
        <w:tab/>
      </w:r>
      <w:r w:rsidR="00FC6AD2">
        <w:rPr>
          <w:rFonts w:cstheme="minorHAnsi"/>
        </w:rPr>
        <w:t xml:space="preserve">Patients </w:t>
      </w:r>
      <w:r>
        <w:rPr>
          <w:rFonts w:cstheme="minorHAnsi"/>
        </w:rPr>
        <w:t>who do</w:t>
      </w:r>
      <w:r w:rsidR="00FC6AD2">
        <w:rPr>
          <w:rFonts w:cstheme="minorHAnsi"/>
        </w:rPr>
        <w:t>n’</w:t>
      </w:r>
      <w:r>
        <w:rPr>
          <w:rFonts w:cstheme="minorHAnsi"/>
        </w:rPr>
        <w:t>t respond to acetaminophen</w:t>
      </w:r>
      <w:r w:rsidR="00FC6AD2">
        <w:rPr>
          <w:rFonts w:cstheme="minorHAnsi"/>
        </w:rPr>
        <w:t xml:space="preserve"> are</w:t>
      </w:r>
      <w:r>
        <w:rPr>
          <w:rFonts w:cstheme="minorHAnsi"/>
        </w:rPr>
        <w:t xml:space="preserve"> give</w:t>
      </w:r>
      <w:r w:rsidR="00FC6AD2">
        <w:rPr>
          <w:rFonts w:cstheme="minorHAnsi"/>
        </w:rPr>
        <w:t>n</w:t>
      </w:r>
      <w:r>
        <w:rPr>
          <w:rFonts w:cstheme="minorHAnsi"/>
        </w:rPr>
        <w:t xml:space="preserve"> opio</w:t>
      </w:r>
      <w:r w:rsidR="00FC6AD2">
        <w:rPr>
          <w:rFonts w:cstheme="minorHAnsi"/>
        </w:rPr>
        <w:t>ids with acetaminophen. Preferred opioids include hydromorphone, fentanyl, methadone, and buprenorphine. Oxycodone may be used but it’s considered second-line. Opioids must be used with caution, and normal-release (short-acting) are preferred over modified-release (long-acting). Oral or transdermal agents, rather than parenteral routes, should be used.</w:t>
      </w:r>
    </w:p>
    <w:p w14:paraId="646062EF" w14:textId="77777777" w:rsidR="00FC6AD2" w:rsidRDefault="00FC6AD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Neuropathic Pain:</w:t>
      </w:r>
    </w:p>
    <w:p w14:paraId="60C04DCE" w14:textId="77777777" w:rsidR="00FC6AD2" w:rsidRDefault="00FC6AD2">
      <w:pPr>
        <w:rPr>
          <w:rFonts w:cstheme="minorHAnsi"/>
        </w:rPr>
      </w:pPr>
      <w:r>
        <w:rPr>
          <w:rFonts w:cstheme="minorHAnsi"/>
        </w:rPr>
        <w:tab/>
        <w:t>A</w:t>
      </w:r>
      <w:r w:rsidR="00422E99">
        <w:rPr>
          <w:rFonts w:cstheme="minorHAnsi"/>
        </w:rPr>
        <w:t>ntiepileptic drugs (</w:t>
      </w:r>
      <w:r w:rsidR="00323B68">
        <w:rPr>
          <w:rFonts w:cstheme="minorHAnsi"/>
        </w:rPr>
        <w:t>AE</w:t>
      </w:r>
      <w:r w:rsidR="00422E99">
        <w:rPr>
          <w:rFonts w:cstheme="minorHAnsi"/>
        </w:rPr>
        <w:t>D’s)</w:t>
      </w:r>
      <w:r>
        <w:rPr>
          <w:rFonts w:cstheme="minorHAnsi"/>
        </w:rPr>
        <w:t xml:space="preserve"> such as gabapentin and pregabalin are first-line for neuropathic pain. Efficacy and toxicity profiles of both are similar, but gabapentin is generally less expensive.</w:t>
      </w:r>
    </w:p>
    <w:p w14:paraId="4C75AFA7" w14:textId="77777777" w:rsidR="00422E99" w:rsidRDefault="00422E99">
      <w:pPr>
        <w:rPr>
          <w:rFonts w:cstheme="minorHAnsi"/>
        </w:rPr>
      </w:pPr>
      <w:r>
        <w:rPr>
          <w:rFonts w:cstheme="minorHAnsi"/>
        </w:rPr>
        <w:tab/>
      </w:r>
      <w:r w:rsidR="00323B68">
        <w:rPr>
          <w:rFonts w:cstheme="minorHAnsi"/>
        </w:rPr>
        <w:t>Tricyclic Antidepressants (</w:t>
      </w:r>
      <w:r>
        <w:rPr>
          <w:rFonts w:cstheme="minorHAnsi"/>
        </w:rPr>
        <w:t>TCA’s</w:t>
      </w:r>
      <w:r w:rsidR="00323B68">
        <w:rPr>
          <w:rFonts w:cstheme="minorHAnsi"/>
        </w:rPr>
        <w:t>)</w:t>
      </w:r>
      <w:r>
        <w:rPr>
          <w:rFonts w:cstheme="minorHAnsi"/>
        </w:rPr>
        <w:t xml:space="preserve"> such as amitrip</w:t>
      </w:r>
      <w:r w:rsidR="00323B68">
        <w:rPr>
          <w:rFonts w:cstheme="minorHAnsi"/>
        </w:rPr>
        <w:t>tyline are second-line for CKD patients whose neuropathic pain is not relieved by the maximum doses of AED’s. Other AED’s such as doxepin, imipramine, nortriptyline, and desipramine have been used with success.</w:t>
      </w:r>
    </w:p>
    <w:p w14:paraId="59E06F03" w14:textId="77777777" w:rsidR="00EE5A7B" w:rsidRDefault="00EE5A7B">
      <w:pPr>
        <w:rPr>
          <w:rFonts w:cstheme="minorHAnsi"/>
        </w:rPr>
      </w:pPr>
      <w:r>
        <w:rPr>
          <w:rFonts w:cstheme="minorHAnsi"/>
        </w:rPr>
        <w:tab/>
        <w:t>Carbamazepine is a tricyclic compound related to TCA’s and may also be used. It does not require dose adjustment in CKD.</w:t>
      </w:r>
    </w:p>
    <w:p w14:paraId="120F9BA9" w14:textId="77777777" w:rsidR="00EE5A7B" w:rsidRDefault="00EE5A7B">
      <w:pPr>
        <w:rPr>
          <w:rFonts w:cstheme="minorHAnsi"/>
        </w:rPr>
      </w:pPr>
      <w:r>
        <w:rPr>
          <w:rFonts w:cstheme="minorHAnsi"/>
        </w:rPr>
        <w:tab/>
        <w:t>Methadone may be effective for severe, refractory neuropathic pain.</w:t>
      </w:r>
    </w:p>
    <w:p w14:paraId="7BD36680" w14:textId="77777777" w:rsidR="00323B68" w:rsidRDefault="00323B68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  <w:b/>
          <w:bCs/>
          <w:i/>
          <w:iCs/>
        </w:rPr>
        <w:t>Mixed Nociceptive &amp; Neuropathic Pain:</w:t>
      </w:r>
    </w:p>
    <w:p w14:paraId="781040F8" w14:textId="77777777" w:rsidR="00323B68" w:rsidRDefault="00323B68">
      <w:pPr>
        <w:rPr>
          <w:rFonts w:cstheme="minorHAnsi"/>
        </w:rPr>
      </w:pPr>
      <w:r>
        <w:rPr>
          <w:rFonts w:cstheme="minorHAnsi"/>
        </w:rPr>
        <w:tab/>
        <w:t>Usually start with acetaminophen with gabapentin or pregabalin. Titrate the AED first before considering adding a strong opioid. The preferred opioid is methadone.</w:t>
      </w:r>
    </w:p>
    <w:p w14:paraId="22996FB1" w14:textId="77777777" w:rsidR="00EE5A7B" w:rsidRDefault="00EE5A7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Drugs that should be avoided:</w:t>
      </w:r>
    </w:p>
    <w:p w14:paraId="735EAE0B" w14:textId="77777777" w:rsidR="00EE5A7B" w:rsidRPr="00EE5A7B" w:rsidRDefault="00EE5A7B">
      <w:pPr>
        <w:rPr>
          <w:rFonts w:cstheme="minorHAnsi"/>
        </w:rPr>
      </w:pPr>
      <w:r>
        <w:rPr>
          <w:rFonts w:cstheme="minorHAnsi"/>
        </w:rPr>
        <w:tab/>
        <w:t>Generally do not use NSAID’s, codeine, tramadol, dextropropoxyphene, morphine, meperidine/pethidine, or propoxyphene among patients with advanced CKD</w:t>
      </w:r>
    </w:p>
    <w:p w14:paraId="1247C68C" w14:textId="77777777" w:rsidR="00323B68" w:rsidRPr="00323B68" w:rsidRDefault="00323B68">
      <w:pPr>
        <w:rPr>
          <w:rFonts w:cstheme="minorHAnsi"/>
        </w:rPr>
      </w:pPr>
    </w:p>
    <w:p w14:paraId="6698A7B9" w14:textId="77777777" w:rsidR="00FE064D" w:rsidRPr="00892B7D" w:rsidRDefault="00892B7D">
      <w:pPr>
        <w:rPr>
          <w:rFonts w:cstheme="minorHAnsi"/>
        </w:rPr>
      </w:pPr>
      <w:r w:rsidRPr="00892B7D">
        <w:rPr>
          <w:rFonts w:cstheme="minorHAnsi"/>
          <w:noProof/>
        </w:rPr>
        <w:drawing>
          <wp:inline distT="0" distB="0" distL="0" distR="0" wp14:anchorId="70B58071" wp14:editId="7E0D5F37">
            <wp:extent cx="5943600" cy="573024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7 at 11.01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4D43" w14:textId="77777777" w:rsidR="00FE064D" w:rsidRPr="00892B7D" w:rsidRDefault="00FE064D">
      <w:pPr>
        <w:rPr>
          <w:rFonts w:cstheme="minorHAnsi"/>
        </w:rPr>
      </w:pPr>
    </w:p>
    <w:p w14:paraId="5B0BA9C7" w14:textId="77777777" w:rsidR="00FE064D" w:rsidRPr="00892B7D" w:rsidRDefault="00FE064D">
      <w:pPr>
        <w:rPr>
          <w:rFonts w:cstheme="minorHAnsi"/>
        </w:rPr>
      </w:pPr>
      <w:r w:rsidRPr="00892B7D">
        <w:rPr>
          <w:rFonts w:cstheme="minorHAnsi"/>
          <w:noProof/>
        </w:rPr>
        <w:lastRenderedPageBreak/>
        <w:drawing>
          <wp:inline distT="0" distB="0" distL="0" distR="0" wp14:anchorId="620ABE09" wp14:editId="51293F40">
            <wp:extent cx="5943600" cy="24288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7 at 11.00.5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1819" w14:textId="77777777" w:rsidR="00FE064D" w:rsidRPr="00892B7D" w:rsidRDefault="00FE064D">
      <w:pPr>
        <w:rPr>
          <w:rFonts w:cstheme="minorHAnsi"/>
        </w:rPr>
      </w:pPr>
    </w:p>
    <w:p w14:paraId="7F126AFE" w14:textId="77777777" w:rsidR="00907144" w:rsidRPr="00892B7D" w:rsidRDefault="00907144" w:rsidP="00907144">
      <w:pPr>
        <w:rPr>
          <w:rFonts w:eastAsia="Times New Roman" w:cstheme="minorHAnsi"/>
        </w:rPr>
      </w:pPr>
      <w:r w:rsidRPr="00892B7D">
        <w:rPr>
          <w:rFonts w:cstheme="minorHAnsi"/>
        </w:rPr>
        <w:tab/>
      </w:r>
      <w:r w:rsidRPr="00892B7D">
        <w:rPr>
          <w:rFonts w:cstheme="minorHAnsi"/>
          <w:b/>
          <w:bCs/>
        </w:rPr>
        <w:t xml:space="preserve">Source: </w:t>
      </w:r>
      <w:hyperlink r:id="rId7" w:anchor="H3890441370" w:history="1">
        <w:r w:rsidRPr="00892B7D">
          <w:rPr>
            <w:rFonts w:eastAsia="Times New Roman" w:cstheme="minorHAnsi"/>
            <w:color w:val="0000FF"/>
            <w:u w:val="single"/>
          </w:rPr>
          <w:t>https://www-uptodate-com.york.ezproxy.cuny.edu/contents/management-of-chronic-pain-in-advanced-chronic-kidney-disease?search=analgesia%20in%20ckd&amp;source=search_result&amp;selectedTitle=1~150&amp;usage_type=default&amp;display_rank=1#H3890441370</w:t>
        </w:r>
      </w:hyperlink>
    </w:p>
    <w:p w14:paraId="009F9268" w14:textId="77777777" w:rsidR="00907144" w:rsidRPr="00892B7D" w:rsidRDefault="00907144">
      <w:pPr>
        <w:rPr>
          <w:rFonts w:cstheme="minorHAnsi"/>
          <w:b/>
          <w:bCs/>
        </w:rPr>
      </w:pPr>
    </w:p>
    <w:p w14:paraId="04C04446" w14:textId="77777777" w:rsidR="00C77927" w:rsidRPr="00892B7D" w:rsidRDefault="00C77927">
      <w:pPr>
        <w:rPr>
          <w:rFonts w:cstheme="minorHAnsi"/>
          <w:b/>
          <w:bCs/>
        </w:rPr>
      </w:pPr>
    </w:p>
    <w:p w14:paraId="5F07F683" w14:textId="77777777" w:rsidR="00C77927" w:rsidRDefault="00C77927">
      <w:pPr>
        <w:rPr>
          <w:rFonts w:cstheme="minorHAnsi"/>
          <w:b/>
          <w:bCs/>
        </w:rPr>
      </w:pPr>
      <w:r w:rsidRPr="00892B7D">
        <w:rPr>
          <w:rFonts w:cstheme="minorHAnsi"/>
          <w:b/>
          <w:bCs/>
        </w:rPr>
        <w:t>2) OTC drugs to avoid in CKD:</w:t>
      </w:r>
    </w:p>
    <w:p w14:paraId="4F88F70F" w14:textId="77777777" w:rsidR="00EE5A7B" w:rsidRDefault="00EE5A7B" w:rsidP="00673418">
      <w:pPr>
        <w:pStyle w:val="ListParagraph"/>
        <w:numPr>
          <w:ilvl w:val="0"/>
          <w:numId w:val="1"/>
        </w:numPr>
        <w:rPr>
          <w:rFonts w:cstheme="minorHAnsi"/>
        </w:rPr>
      </w:pPr>
      <w:r w:rsidRPr="00673418">
        <w:rPr>
          <w:rFonts w:cstheme="minorHAnsi"/>
        </w:rPr>
        <w:t>NSAIDS</w:t>
      </w:r>
      <w:r w:rsidR="00673418">
        <w:rPr>
          <w:rFonts w:cstheme="minorHAnsi"/>
        </w:rPr>
        <w:t xml:space="preserve">: </w:t>
      </w:r>
      <w:r w:rsidRPr="00673418">
        <w:rPr>
          <w:rFonts w:cstheme="minorHAnsi"/>
        </w:rPr>
        <w:t>ibuprofen</w:t>
      </w:r>
      <w:r w:rsidR="00673418">
        <w:rPr>
          <w:rFonts w:cstheme="minorHAnsi"/>
        </w:rPr>
        <w:t xml:space="preserve">, </w:t>
      </w:r>
      <w:r w:rsidRPr="00673418">
        <w:rPr>
          <w:rFonts w:cstheme="minorHAnsi"/>
        </w:rPr>
        <w:t>naproxen</w:t>
      </w:r>
      <w:r w:rsidR="00673418">
        <w:rPr>
          <w:rFonts w:cstheme="minorHAnsi"/>
        </w:rPr>
        <w:t>, and aspirin</w:t>
      </w:r>
      <w:r w:rsidRPr="00673418">
        <w:rPr>
          <w:rFonts w:cstheme="minorHAnsi"/>
        </w:rPr>
        <w:t>.</w:t>
      </w:r>
      <w:r w:rsidR="00673418">
        <w:rPr>
          <w:rFonts w:cstheme="minorHAnsi"/>
        </w:rPr>
        <w:t xml:space="preserve"> Check the ingredients on the labels of cold and cough remedies for NSAID’s as they are often included.</w:t>
      </w:r>
    </w:p>
    <w:p w14:paraId="547AD184" w14:textId="77777777" w:rsid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Decongestants: pseudoephedrine, especially in pts with HTN</w:t>
      </w:r>
    </w:p>
    <w:p w14:paraId="06C49158" w14:textId="77777777" w:rsid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Antacids and laxatives with magnesium, phosphorus, and Aluminum such as Mylanta, Milk of Magnesium, </w:t>
      </w:r>
      <w:proofErr w:type="spellStart"/>
      <w:r>
        <w:rPr>
          <w:rFonts w:cstheme="minorHAnsi"/>
        </w:rPr>
        <w:t>Amphogel</w:t>
      </w:r>
      <w:proofErr w:type="spellEnd"/>
      <w:r>
        <w:rPr>
          <w:rFonts w:cstheme="minorHAnsi"/>
        </w:rPr>
        <w:t>, and Fleets products</w:t>
      </w:r>
    </w:p>
    <w:p w14:paraId="3E088F05" w14:textId="77777777" w:rsid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Alka seltzer or baking soda products for indigestion</w:t>
      </w:r>
    </w:p>
    <w:p w14:paraId="6963998A" w14:textId="77777777" w:rsid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Herbal medicines and remedies</w:t>
      </w:r>
    </w:p>
    <w:p w14:paraId="2D064476" w14:textId="77777777" w:rsid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Vitamin and diet/food supplements</w:t>
      </w:r>
    </w:p>
    <w:p w14:paraId="647D29F9" w14:textId="77777777" w:rsidR="00673418" w:rsidRPr="00673418" w:rsidRDefault="00673418" w:rsidP="006734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Salt substitutes that contain potassium</w:t>
      </w:r>
    </w:p>
    <w:p w14:paraId="30C01DC2" w14:textId="77777777" w:rsidR="00673418" w:rsidRPr="00673418" w:rsidRDefault="00673418" w:rsidP="00673418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Source: </w:t>
      </w:r>
      <w:hyperlink r:id="rId8" w:history="1">
        <w:r w:rsidRPr="00673418">
          <w:rPr>
            <w:rFonts w:ascii="Times New Roman" w:eastAsia="Times New Roman" w:hAnsi="Times New Roman" w:cs="Times New Roman"/>
            <w:color w:val="0000FF"/>
            <w:u w:val="single"/>
          </w:rPr>
          <w:t>https://unckidneycenter.org/files/2017/10/ckd_medicines.pdf</w:t>
        </w:r>
      </w:hyperlink>
    </w:p>
    <w:p w14:paraId="55426F52" w14:textId="77777777" w:rsidR="00673418" w:rsidRPr="00673418" w:rsidRDefault="00673418">
      <w:pPr>
        <w:rPr>
          <w:rFonts w:cstheme="minorHAnsi"/>
        </w:rPr>
      </w:pPr>
    </w:p>
    <w:sectPr w:rsidR="00673418" w:rsidRPr="00673418" w:rsidSect="0069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12A"/>
    <w:multiLevelType w:val="hybridMultilevel"/>
    <w:tmpl w:val="5B6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27"/>
    <w:rsid w:val="0001107F"/>
    <w:rsid w:val="00323B68"/>
    <w:rsid w:val="0039340C"/>
    <w:rsid w:val="00422E99"/>
    <w:rsid w:val="00673418"/>
    <w:rsid w:val="00690BB2"/>
    <w:rsid w:val="007F6C7F"/>
    <w:rsid w:val="00892B7D"/>
    <w:rsid w:val="00907144"/>
    <w:rsid w:val="00A50CCA"/>
    <w:rsid w:val="00AE261D"/>
    <w:rsid w:val="00C77927"/>
    <w:rsid w:val="00CA3265"/>
    <w:rsid w:val="00EE5A7B"/>
    <w:rsid w:val="00EF6B3C"/>
    <w:rsid w:val="00FC6AD2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DFAE4"/>
  <w15:chartTrackingRefBased/>
  <w15:docId w15:val="{78E9CFBF-A67C-834E-B20B-EB85808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kidneycenter.org/files/2017/10/ckd_medic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uptodate-com.york.ezproxy.cuny.edu/contents/management-of-chronic-pain-in-advanced-chronic-kidney-disease?search=analgesia%20in%20ckd&amp;source=search_result&amp;selectedTitle=1~150&amp;usage_type=default&amp;display_ra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2</cp:revision>
  <dcterms:created xsi:type="dcterms:W3CDTF">2020-05-08T22:58:00Z</dcterms:created>
  <dcterms:modified xsi:type="dcterms:W3CDTF">2020-05-08T22:58:00Z</dcterms:modified>
</cp:coreProperties>
</file>