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0165" w:rsidRPr="00D33A54" w:rsidRDefault="003E0165">
      <w:pPr>
        <w:rPr>
          <w:rFonts w:cstheme="minorHAnsi"/>
          <w:sz w:val="22"/>
          <w:szCs w:val="22"/>
        </w:rPr>
      </w:pPr>
      <w:r w:rsidRPr="00D33A54">
        <w:rPr>
          <w:rFonts w:cstheme="minorHAnsi"/>
          <w:sz w:val="22"/>
          <w:szCs w:val="22"/>
        </w:rPr>
        <w:t xml:space="preserve">Erik </w:t>
      </w:r>
      <w:proofErr w:type="spellStart"/>
      <w:r w:rsidRPr="00D33A54">
        <w:rPr>
          <w:rFonts w:cstheme="minorHAnsi"/>
          <w:sz w:val="22"/>
          <w:szCs w:val="22"/>
        </w:rPr>
        <w:t>Oatman</w:t>
      </w:r>
      <w:proofErr w:type="spellEnd"/>
    </w:p>
    <w:p w:rsidR="003E0165" w:rsidRPr="00D33A54" w:rsidRDefault="003E0165">
      <w:pPr>
        <w:rPr>
          <w:rFonts w:cstheme="minorHAnsi"/>
          <w:sz w:val="22"/>
          <w:szCs w:val="22"/>
        </w:rPr>
      </w:pPr>
      <w:r w:rsidRPr="00D33A54">
        <w:rPr>
          <w:rFonts w:cstheme="minorHAnsi"/>
          <w:sz w:val="22"/>
          <w:szCs w:val="22"/>
        </w:rPr>
        <w:t xml:space="preserve">Online Clin </w:t>
      </w:r>
      <w:proofErr w:type="spellStart"/>
      <w:r w:rsidRPr="00D33A54">
        <w:rPr>
          <w:rFonts w:cstheme="minorHAnsi"/>
          <w:sz w:val="22"/>
          <w:szCs w:val="22"/>
        </w:rPr>
        <w:t>Corr</w:t>
      </w:r>
      <w:proofErr w:type="spellEnd"/>
    </w:p>
    <w:p w:rsidR="003E0165" w:rsidRPr="00D33A54" w:rsidRDefault="003E0165">
      <w:pPr>
        <w:rPr>
          <w:rFonts w:cstheme="minorHAnsi"/>
          <w:sz w:val="22"/>
          <w:szCs w:val="22"/>
        </w:rPr>
      </w:pPr>
      <w:proofErr w:type="spellStart"/>
      <w:r w:rsidRPr="00D33A54">
        <w:rPr>
          <w:rFonts w:cstheme="minorHAnsi"/>
          <w:sz w:val="22"/>
          <w:szCs w:val="22"/>
        </w:rPr>
        <w:t>Wk</w:t>
      </w:r>
      <w:proofErr w:type="spellEnd"/>
      <w:r w:rsidRPr="00D33A54">
        <w:rPr>
          <w:rFonts w:cstheme="minorHAnsi"/>
          <w:sz w:val="22"/>
          <w:szCs w:val="22"/>
        </w:rPr>
        <w:t xml:space="preserve"> 5 LTC</w:t>
      </w:r>
    </w:p>
    <w:p w:rsidR="003E0165" w:rsidRPr="00D33A54" w:rsidRDefault="003E0165">
      <w:pPr>
        <w:rPr>
          <w:rFonts w:cstheme="minorHAnsi"/>
          <w:sz w:val="22"/>
          <w:szCs w:val="22"/>
        </w:rPr>
      </w:pPr>
      <w:r w:rsidRPr="00D33A54">
        <w:rPr>
          <w:rFonts w:cstheme="minorHAnsi"/>
          <w:sz w:val="22"/>
          <w:szCs w:val="22"/>
        </w:rPr>
        <w:t>Dr. Davidson</w:t>
      </w:r>
    </w:p>
    <w:p w:rsidR="003E0165" w:rsidRPr="00D33A54" w:rsidRDefault="003E0165">
      <w:pPr>
        <w:rPr>
          <w:rFonts w:cstheme="minorHAnsi"/>
          <w:sz w:val="22"/>
          <w:szCs w:val="22"/>
        </w:rPr>
      </w:pPr>
    </w:p>
    <w:p w:rsidR="003E0165" w:rsidRPr="00D33A54" w:rsidRDefault="003E0165" w:rsidP="003E0165">
      <w:pPr>
        <w:rPr>
          <w:rFonts w:cstheme="minorHAnsi"/>
          <w:b/>
          <w:bCs/>
          <w:sz w:val="22"/>
          <w:szCs w:val="22"/>
        </w:rPr>
      </w:pPr>
      <w:r w:rsidRPr="00D33A54">
        <w:rPr>
          <w:rFonts w:cstheme="minorHAnsi"/>
          <w:b/>
          <w:bCs/>
          <w:sz w:val="22"/>
          <w:szCs w:val="22"/>
        </w:rPr>
        <w:t>Case #1:</w:t>
      </w:r>
    </w:p>
    <w:p w:rsidR="003E0165" w:rsidRPr="00D33A54" w:rsidRDefault="003E0165" w:rsidP="003E0165">
      <w:pPr>
        <w:ind w:firstLine="720"/>
        <w:rPr>
          <w:rFonts w:eastAsia="Times New Roman" w:cstheme="minorHAnsi"/>
          <w:color w:val="000000"/>
          <w:sz w:val="22"/>
          <w:szCs w:val="22"/>
        </w:rPr>
      </w:pPr>
      <w:r w:rsidRPr="00D33A54">
        <w:rPr>
          <w:rFonts w:cstheme="minorHAnsi"/>
          <w:sz w:val="22"/>
          <w:szCs w:val="22"/>
        </w:rPr>
        <w:t xml:space="preserve">Mr. G is a 96 y/o M, presents for monthly visit at ADHC. Resides with daughter in private home with 4 steps. </w:t>
      </w:r>
      <w:r w:rsidRPr="00D33A54">
        <w:rPr>
          <w:rFonts w:eastAsia="Times New Roman" w:cstheme="minorHAnsi"/>
          <w:color w:val="000000"/>
          <w:sz w:val="22"/>
          <w:szCs w:val="22"/>
        </w:rPr>
        <w:t>PMHx Alzheimer's dementia, HTN, Venous insufficiency in LEs, CKD, iron def anemia, OA, BPH, depression/anxiety, use of wheelchair. Pt initially states he “feels okay” but admits to R shoulder and hip pain upon further questioning.</w:t>
      </w:r>
    </w:p>
    <w:p w:rsidR="003E0165" w:rsidRPr="00D33A54" w:rsidRDefault="003E0165" w:rsidP="003E0165">
      <w:pPr>
        <w:rPr>
          <w:rFonts w:eastAsia="Times New Roman" w:cstheme="minorHAnsi"/>
          <w:color w:val="000000"/>
          <w:sz w:val="22"/>
          <w:szCs w:val="22"/>
        </w:rPr>
      </w:pPr>
    </w:p>
    <w:p w:rsidR="003E0165" w:rsidRPr="00D33A54" w:rsidRDefault="003E0165" w:rsidP="003E0165">
      <w:pPr>
        <w:rPr>
          <w:rFonts w:eastAsia="Times New Roman" w:cstheme="minorHAnsi"/>
          <w:b/>
          <w:bCs/>
          <w:color w:val="000000"/>
          <w:sz w:val="22"/>
          <w:szCs w:val="22"/>
        </w:rPr>
      </w:pPr>
    </w:p>
    <w:p w:rsidR="003E0165" w:rsidRPr="00D33A54" w:rsidRDefault="003E0165" w:rsidP="003E0165">
      <w:pPr>
        <w:rPr>
          <w:rFonts w:eastAsia="Times New Roman" w:cstheme="minorHAnsi"/>
          <w:b/>
          <w:bCs/>
          <w:color w:val="000000"/>
          <w:sz w:val="22"/>
          <w:szCs w:val="22"/>
        </w:rPr>
      </w:pPr>
      <w:r w:rsidRPr="00D33A54">
        <w:rPr>
          <w:rFonts w:eastAsia="Times New Roman" w:cstheme="minorHAnsi"/>
          <w:b/>
          <w:bCs/>
          <w:color w:val="000000"/>
          <w:sz w:val="22"/>
          <w:szCs w:val="22"/>
        </w:rPr>
        <w:t>Questions:</w:t>
      </w:r>
    </w:p>
    <w:p w:rsidR="003E0165" w:rsidRPr="00D33A54" w:rsidRDefault="003E0165" w:rsidP="003E0165">
      <w:pPr>
        <w:rPr>
          <w:rFonts w:eastAsia="Times New Roman" w:cstheme="minorHAnsi"/>
          <w:b/>
          <w:bCs/>
          <w:color w:val="000000"/>
          <w:sz w:val="22"/>
          <w:szCs w:val="22"/>
        </w:rPr>
      </w:pPr>
      <w:r w:rsidRPr="00D33A54">
        <w:rPr>
          <w:rFonts w:eastAsia="Times New Roman" w:cstheme="minorHAnsi"/>
          <w:b/>
          <w:bCs/>
          <w:color w:val="000000"/>
          <w:sz w:val="22"/>
          <w:szCs w:val="22"/>
        </w:rPr>
        <w:t>Why do we perform calculated creatinine clearance in the elderly?</w:t>
      </w:r>
    </w:p>
    <w:p w:rsidR="00FC603D" w:rsidRPr="00D33A54" w:rsidRDefault="00FC603D" w:rsidP="003E0165">
      <w:pPr>
        <w:rPr>
          <w:rFonts w:eastAsia="Times New Roman" w:cstheme="minorHAnsi"/>
          <w:sz w:val="22"/>
          <w:szCs w:val="22"/>
        </w:rPr>
      </w:pPr>
      <w:r w:rsidRPr="00D33A54">
        <w:rPr>
          <w:rFonts w:eastAsia="Times New Roman" w:cstheme="minorHAnsi"/>
          <w:sz w:val="22"/>
          <w:szCs w:val="22"/>
        </w:rPr>
        <w:tab/>
        <w:t>Creatinine clearance (</w:t>
      </w:r>
      <w:proofErr w:type="spellStart"/>
      <w:r w:rsidRPr="00D33A54">
        <w:rPr>
          <w:rFonts w:eastAsia="Times New Roman" w:cstheme="minorHAnsi"/>
          <w:sz w:val="22"/>
          <w:szCs w:val="22"/>
        </w:rPr>
        <w:t>CrCl</w:t>
      </w:r>
      <w:proofErr w:type="spellEnd"/>
      <w:r w:rsidRPr="00D33A54">
        <w:rPr>
          <w:rFonts w:eastAsia="Times New Roman" w:cstheme="minorHAnsi"/>
          <w:sz w:val="22"/>
          <w:szCs w:val="22"/>
        </w:rPr>
        <w:t xml:space="preserve">) is widely used to estimate GFR. Creatinine is derived from the metabolism of skeletal muscle and dietary meat. As </w:t>
      </w:r>
      <w:r w:rsidR="006D0D30" w:rsidRPr="00D33A54">
        <w:rPr>
          <w:rFonts w:eastAsia="Times New Roman" w:cstheme="minorHAnsi"/>
          <w:sz w:val="22"/>
          <w:szCs w:val="22"/>
        </w:rPr>
        <w:t xml:space="preserve">the total number of nephrons and </w:t>
      </w:r>
      <w:r w:rsidRPr="00D33A54">
        <w:rPr>
          <w:rFonts w:eastAsia="Times New Roman" w:cstheme="minorHAnsi"/>
          <w:sz w:val="22"/>
          <w:szCs w:val="22"/>
        </w:rPr>
        <w:t>GFR decreases with age, CKD becomes more prevalent</w:t>
      </w:r>
      <w:r w:rsidR="006522FE" w:rsidRPr="00D33A54">
        <w:rPr>
          <w:rFonts w:eastAsia="Times New Roman" w:cstheme="minorHAnsi"/>
          <w:sz w:val="22"/>
          <w:szCs w:val="22"/>
        </w:rPr>
        <w:t xml:space="preserve"> and more advanced</w:t>
      </w:r>
      <w:r w:rsidRPr="00D33A54">
        <w:rPr>
          <w:rFonts w:eastAsia="Times New Roman" w:cstheme="minorHAnsi"/>
          <w:sz w:val="22"/>
          <w:szCs w:val="22"/>
        </w:rPr>
        <w:t xml:space="preserve"> in older adults.</w:t>
      </w:r>
      <w:r w:rsidR="006D0D30" w:rsidRPr="00D33A54">
        <w:rPr>
          <w:rFonts w:eastAsia="Times New Roman" w:cstheme="minorHAnsi"/>
          <w:sz w:val="22"/>
          <w:szCs w:val="22"/>
        </w:rPr>
        <w:t xml:space="preserve"> </w:t>
      </w:r>
      <w:r w:rsidRPr="00D33A54">
        <w:rPr>
          <w:rFonts w:eastAsia="Times New Roman" w:cstheme="minorHAnsi"/>
          <w:sz w:val="22"/>
          <w:szCs w:val="22"/>
        </w:rPr>
        <w:t xml:space="preserve">We must perform </w:t>
      </w:r>
      <w:r w:rsidR="006D0D30" w:rsidRPr="00D33A54">
        <w:rPr>
          <w:rFonts w:eastAsia="Times New Roman" w:cstheme="minorHAnsi"/>
          <w:sz w:val="22"/>
          <w:szCs w:val="22"/>
        </w:rPr>
        <w:t xml:space="preserve">calculated </w:t>
      </w:r>
      <w:proofErr w:type="spellStart"/>
      <w:r w:rsidRPr="00D33A54">
        <w:rPr>
          <w:rFonts w:eastAsia="Times New Roman" w:cstheme="minorHAnsi"/>
          <w:sz w:val="22"/>
          <w:szCs w:val="22"/>
        </w:rPr>
        <w:t>CrCl</w:t>
      </w:r>
      <w:proofErr w:type="spellEnd"/>
      <w:r w:rsidRPr="00D33A54">
        <w:rPr>
          <w:rFonts w:eastAsia="Times New Roman" w:cstheme="minorHAnsi"/>
          <w:sz w:val="22"/>
          <w:szCs w:val="22"/>
        </w:rPr>
        <w:t xml:space="preserve"> </w:t>
      </w:r>
      <w:r w:rsidR="006D0D30" w:rsidRPr="00D33A54">
        <w:rPr>
          <w:rFonts w:eastAsia="Times New Roman" w:cstheme="minorHAnsi"/>
          <w:sz w:val="22"/>
          <w:szCs w:val="22"/>
        </w:rPr>
        <w:t>on a regular basis because many older patients are on polypharmacy and eGFR is critical in</w:t>
      </w:r>
      <w:r w:rsidR="00907666" w:rsidRPr="00D33A54">
        <w:rPr>
          <w:rFonts w:eastAsia="Times New Roman" w:cstheme="minorHAnsi"/>
          <w:sz w:val="22"/>
          <w:szCs w:val="22"/>
        </w:rPr>
        <w:t xml:space="preserve"> assessing renal status</w:t>
      </w:r>
      <w:r w:rsidR="006D0D30" w:rsidRPr="00D33A54">
        <w:rPr>
          <w:rFonts w:eastAsia="Times New Roman" w:cstheme="minorHAnsi"/>
          <w:sz w:val="22"/>
          <w:szCs w:val="22"/>
        </w:rPr>
        <w:t xml:space="preserve"> </w:t>
      </w:r>
      <w:r w:rsidR="00567BA3" w:rsidRPr="00D33A54">
        <w:rPr>
          <w:rFonts w:eastAsia="Times New Roman" w:cstheme="minorHAnsi"/>
          <w:sz w:val="22"/>
          <w:szCs w:val="22"/>
        </w:rPr>
        <w:t xml:space="preserve">and </w:t>
      </w:r>
      <w:r w:rsidR="006D0D30" w:rsidRPr="00D33A54">
        <w:rPr>
          <w:rFonts w:eastAsia="Times New Roman" w:cstheme="minorHAnsi"/>
          <w:sz w:val="22"/>
          <w:szCs w:val="22"/>
        </w:rPr>
        <w:t>adjusting doses and avoiding toxicity from build-up.</w:t>
      </w:r>
    </w:p>
    <w:p w:rsidR="006D0D30" w:rsidRPr="00D33A54" w:rsidRDefault="006D0D30" w:rsidP="006D0D30">
      <w:pPr>
        <w:rPr>
          <w:rFonts w:eastAsia="Times New Roman" w:cstheme="minorHAnsi"/>
          <w:b/>
          <w:bCs/>
          <w:sz w:val="22"/>
          <w:szCs w:val="22"/>
        </w:rPr>
      </w:pPr>
      <w:r w:rsidRPr="00D33A54">
        <w:rPr>
          <w:rFonts w:eastAsia="Times New Roman" w:cstheme="minorHAnsi"/>
          <w:sz w:val="22"/>
          <w:szCs w:val="22"/>
        </w:rPr>
        <w:tab/>
      </w:r>
      <w:r w:rsidRPr="00D33A54">
        <w:rPr>
          <w:rFonts w:eastAsia="Times New Roman" w:cstheme="minorHAnsi"/>
          <w:b/>
          <w:bCs/>
          <w:sz w:val="22"/>
          <w:szCs w:val="22"/>
        </w:rPr>
        <w:t xml:space="preserve">Sources: </w:t>
      </w:r>
    </w:p>
    <w:p w:rsidR="006D0D30" w:rsidRPr="00D33A54" w:rsidRDefault="006D0D30" w:rsidP="006D0D30">
      <w:pPr>
        <w:pStyle w:val="ListParagraph"/>
        <w:numPr>
          <w:ilvl w:val="0"/>
          <w:numId w:val="1"/>
        </w:numPr>
        <w:rPr>
          <w:rFonts w:eastAsia="Times New Roman" w:cstheme="minorHAnsi"/>
          <w:sz w:val="22"/>
          <w:szCs w:val="22"/>
        </w:rPr>
      </w:pPr>
      <w:hyperlink r:id="rId5" w:history="1">
        <w:r w:rsidRPr="00D33A54">
          <w:rPr>
            <w:rStyle w:val="Hyperlink"/>
            <w:rFonts w:eastAsia="Times New Roman" w:cstheme="minorHAnsi"/>
            <w:sz w:val="22"/>
            <w:szCs w:val="22"/>
          </w:rPr>
          <w:t>https://www-uptodate-com.york.ezproxy.cuny.edu/contents/the-aging-kidney?search=creatinine%20elderly&amp;source=search_result&amp;selectedTitle=1~150&amp;usage_type=default&amp;display_rank=1#H9530838</w:t>
        </w:r>
      </w:hyperlink>
    </w:p>
    <w:p w:rsidR="006D0D30" w:rsidRPr="00D33A54" w:rsidRDefault="006D0D30" w:rsidP="006D0D30">
      <w:pPr>
        <w:pStyle w:val="ListParagraph"/>
        <w:numPr>
          <w:ilvl w:val="0"/>
          <w:numId w:val="1"/>
        </w:numPr>
        <w:rPr>
          <w:rFonts w:eastAsia="Times New Roman" w:cstheme="minorHAnsi"/>
          <w:sz w:val="22"/>
          <w:szCs w:val="22"/>
        </w:rPr>
      </w:pPr>
      <w:hyperlink r:id="rId6" w:history="1">
        <w:r w:rsidRPr="00D33A54">
          <w:rPr>
            <w:rFonts w:eastAsia="Times New Roman" w:cstheme="minorHAnsi"/>
            <w:color w:val="0000FF"/>
            <w:sz w:val="22"/>
            <w:szCs w:val="22"/>
            <w:u w:val="single"/>
          </w:rPr>
          <w:t>https://www.medscape.com/viewarticle/762323</w:t>
        </w:r>
      </w:hyperlink>
    </w:p>
    <w:p w:rsidR="006D0D30" w:rsidRPr="00D33A54" w:rsidRDefault="006D0D30" w:rsidP="003E0165">
      <w:pPr>
        <w:rPr>
          <w:rFonts w:eastAsia="Times New Roman" w:cstheme="minorHAnsi"/>
          <w:sz w:val="22"/>
          <w:szCs w:val="22"/>
        </w:rPr>
      </w:pPr>
    </w:p>
    <w:p w:rsidR="003E0165" w:rsidRPr="00D33A54" w:rsidRDefault="003E0165">
      <w:pPr>
        <w:rPr>
          <w:rFonts w:cstheme="minorHAnsi"/>
          <w:sz w:val="22"/>
          <w:szCs w:val="22"/>
        </w:rPr>
      </w:pPr>
    </w:p>
    <w:p w:rsidR="003E0165" w:rsidRPr="00D33A54" w:rsidRDefault="003E0165">
      <w:pPr>
        <w:rPr>
          <w:rFonts w:cstheme="minorHAnsi"/>
          <w:b/>
          <w:bCs/>
          <w:sz w:val="22"/>
          <w:szCs w:val="22"/>
        </w:rPr>
      </w:pPr>
      <w:r w:rsidRPr="00D33A54">
        <w:rPr>
          <w:rFonts w:cstheme="minorHAnsi"/>
          <w:b/>
          <w:bCs/>
          <w:sz w:val="22"/>
          <w:szCs w:val="22"/>
        </w:rPr>
        <w:t>What is the survival rate for AAA surgery in the (very) elderly?</w:t>
      </w:r>
    </w:p>
    <w:p w:rsidR="003E0165" w:rsidRPr="00D33A54" w:rsidRDefault="006D0D30">
      <w:pPr>
        <w:rPr>
          <w:rFonts w:cstheme="minorHAnsi"/>
          <w:sz w:val="22"/>
          <w:szCs w:val="22"/>
        </w:rPr>
      </w:pPr>
      <w:r w:rsidRPr="00D33A54">
        <w:rPr>
          <w:rFonts w:cstheme="minorHAnsi"/>
          <w:sz w:val="22"/>
          <w:szCs w:val="22"/>
        </w:rPr>
        <w:tab/>
        <w:t>In the management AAA, the determination to undergo en</w:t>
      </w:r>
      <w:r w:rsidR="009D3FDC" w:rsidRPr="00D33A54">
        <w:rPr>
          <w:rFonts w:cstheme="minorHAnsi"/>
          <w:sz w:val="22"/>
          <w:szCs w:val="22"/>
        </w:rPr>
        <w:t>d</w:t>
      </w:r>
      <w:r w:rsidRPr="00D33A54">
        <w:rPr>
          <w:rFonts w:cstheme="minorHAnsi"/>
          <w:sz w:val="22"/>
          <w:szCs w:val="22"/>
        </w:rPr>
        <w:t>ovascular</w:t>
      </w:r>
      <w:r w:rsidR="00F6545E" w:rsidRPr="00D33A54">
        <w:rPr>
          <w:rFonts w:cstheme="minorHAnsi"/>
          <w:sz w:val="22"/>
          <w:szCs w:val="22"/>
        </w:rPr>
        <w:t xml:space="preserve"> aneurysm repair</w:t>
      </w:r>
      <w:r w:rsidR="00080FBA" w:rsidRPr="00D33A54">
        <w:rPr>
          <w:rFonts w:cstheme="minorHAnsi"/>
          <w:sz w:val="22"/>
          <w:szCs w:val="22"/>
        </w:rPr>
        <w:t xml:space="preserve"> (EVAR)</w:t>
      </w:r>
      <w:r w:rsidRPr="00D33A54">
        <w:rPr>
          <w:rFonts w:cstheme="minorHAnsi"/>
          <w:sz w:val="22"/>
          <w:szCs w:val="22"/>
        </w:rPr>
        <w:t xml:space="preserve">, open surgical repair, or </w:t>
      </w:r>
      <w:r w:rsidR="00F6545E" w:rsidRPr="00D33A54">
        <w:rPr>
          <w:rFonts w:cstheme="minorHAnsi"/>
          <w:sz w:val="22"/>
          <w:szCs w:val="22"/>
        </w:rPr>
        <w:t>observation</w:t>
      </w:r>
      <w:r w:rsidRPr="00D33A54">
        <w:rPr>
          <w:rFonts w:cstheme="minorHAnsi"/>
          <w:sz w:val="22"/>
          <w:szCs w:val="22"/>
        </w:rPr>
        <w:t xml:space="preserve"> depends on the size</w:t>
      </w:r>
      <w:r w:rsidR="00F6545E" w:rsidRPr="00D33A54">
        <w:rPr>
          <w:rFonts w:cstheme="minorHAnsi"/>
          <w:sz w:val="22"/>
          <w:szCs w:val="22"/>
        </w:rPr>
        <w:t>/</w:t>
      </w:r>
      <w:r w:rsidRPr="00D33A54">
        <w:rPr>
          <w:rFonts w:cstheme="minorHAnsi"/>
          <w:sz w:val="22"/>
          <w:szCs w:val="22"/>
        </w:rPr>
        <w:t>morphology</w:t>
      </w:r>
      <w:r w:rsidR="00F6545E" w:rsidRPr="00D33A54">
        <w:rPr>
          <w:rFonts w:cstheme="minorHAnsi"/>
          <w:sz w:val="22"/>
          <w:szCs w:val="22"/>
        </w:rPr>
        <w:t>/location</w:t>
      </w:r>
      <w:r w:rsidRPr="00D33A54">
        <w:rPr>
          <w:rFonts w:cstheme="minorHAnsi"/>
          <w:sz w:val="22"/>
          <w:szCs w:val="22"/>
        </w:rPr>
        <w:t xml:space="preserve"> of the aneurism, its rate of growth, and the age and overall health of the patient. Younger patients with longer life expectancy will usually require repair at some point in their lives. For </w:t>
      </w:r>
      <w:r w:rsidR="009D3FDC" w:rsidRPr="00D33A54">
        <w:rPr>
          <w:rFonts w:cstheme="minorHAnsi"/>
          <w:sz w:val="22"/>
          <w:szCs w:val="22"/>
        </w:rPr>
        <w:t>most patients</w:t>
      </w:r>
      <w:r w:rsidRPr="00D33A54">
        <w:rPr>
          <w:rFonts w:cstheme="minorHAnsi"/>
          <w:sz w:val="22"/>
          <w:szCs w:val="22"/>
        </w:rPr>
        <w:t>, an unruptured AAA &gt;5.5 cm or that has grown quickly</w:t>
      </w:r>
      <w:r w:rsidR="00D85AFE" w:rsidRPr="00D33A54">
        <w:rPr>
          <w:rFonts w:cstheme="minorHAnsi"/>
          <w:sz w:val="22"/>
          <w:szCs w:val="22"/>
        </w:rPr>
        <w:t xml:space="preserve"> (&gt;2 cm)</w:t>
      </w:r>
      <w:r w:rsidRPr="00D33A54">
        <w:rPr>
          <w:rFonts w:cstheme="minorHAnsi"/>
          <w:sz w:val="22"/>
          <w:szCs w:val="22"/>
        </w:rPr>
        <w:t xml:space="preserve"> within the last 6 months warrant endovascular</w:t>
      </w:r>
      <w:r w:rsidR="00D85AFE" w:rsidRPr="00D33A54">
        <w:rPr>
          <w:rFonts w:cstheme="minorHAnsi"/>
          <w:sz w:val="22"/>
          <w:szCs w:val="22"/>
        </w:rPr>
        <w:t xml:space="preserve"> repair</w:t>
      </w:r>
      <w:r w:rsidRPr="00D33A54">
        <w:rPr>
          <w:rFonts w:cstheme="minorHAnsi"/>
          <w:sz w:val="22"/>
          <w:szCs w:val="22"/>
        </w:rPr>
        <w:t xml:space="preserve">. Open surgical repair is indicated in cases where there has been a </w:t>
      </w:r>
      <w:r w:rsidR="009D3FDC" w:rsidRPr="00D33A54">
        <w:rPr>
          <w:rFonts w:cstheme="minorHAnsi"/>
          <w:sz w:val="22"/>
          <w:szCs w:val="22"/>
        </w:rPr>
        <w:t xml:space="preserve">partial or complete </w:t>
      </w:r>
      <w:r w:rsidRPr="00D33A54">
        <w:rPr>
          <w:rFonts w:cstheme="minorHAnsi"/>
          <w:sz w:val="22"/>
          <w:szCs w:val="22"/>
        </w:rPr>
        <w:t>rupture</w:t>
      </w:r>
      <w:r w:rsidR="00D85AFE" w:rsidRPr="00D33A54">
        <w:rPr>
          <w:rFonts w:cstheme="minorHAnsi"/>
          <w:sz w:val="22"/>
          <w:szCs w:val="22"/>
        </w:rPr>
        <w:t>, or when rupture is imminent</w:t>
      </w:r>
      <w:r w:rsidRPr="00D33A54">
        <w:rPr>
          <w:rFonts w:cstheme="minorHAnsi"/>
          <w:sz w:val="22"/>
          <w:szCs w:val="22"/>
        </w:rPr>
        <w:t>.</w:t>
      </w:r>
    </w:p>
    <w:p w:rsidR="009D3FDC" w:rsidRPr="00D33A54" w:rsidRDefault="004010E5">
      <w:pPr>
        <w:rPr>
          <w:rFonts w:cstheme="minorHAnsi"/>
          <w:sz w:val="22"/>
          <w:szCs w:val="22"/>
        </w:rPr>
      </w:pPr>
      <w:r w:rsidRPr="00D33A54">
        <w:rPr>
          <w:rFonts w:cstheme="minorHAnsi"/>
          <w:sz w:val="22"/>
          <w:szCs w:val="22"/>
        </w:rPr>
        <w:tab/>
        <w:t xml:space="preserve">Patients &gt;80 y/o </w:t>
      </w:r>
      <w:r w:rsidR="009D3FDC" w:rsidRPr="00D33A54">
        <w:rPr>
          <w:rFonts w:cstheme="minorHAnsi"/>
          <w:sz w:val="22"/>
          <w:szCs w:val="22"/>
        </w:rPr>
        <w:t>are</w:t>
      </w:r>
      <w:r w:rsidRPr="00D33A54">
        <w:rPr>
          <w:rFonts w:cstheme="minorHAnsi"/>
          <w:sz w:val="22"/>
          <w:szCs w:val="22"/>
        </w:rPr>
        <w:t xml:space="preserve"> a</w:t>
      </w:r>
      <w:r w:rsidR="009D3FDC" w:rsidRPr="00D33A54">
        <w:rPr>
          <w:rFonts w:cstheme="minorHAnsi"/>
          <w:sz w:val="22"/>
          <w:szCs w:val="22"/>
        </w:rPr>
        <w:t>t</w:t>
      </w:r>
      <w:r w:rsidRPr="00D33A54">
        <w:rPr>
          <w:rFonts w:cstheme="minorHAnsi"/>
          <w:sz w:val="22"/>
          <w:szCs w:val="22"/>
        </w:rPr>
        <w:t xml:space="preserve"> significant </w:t>
      </w:r>
      <w:r w:rsidR="009D3FDC" w:rsidRPr="00D33A54">
        <w:rPr>
          <w:rFonts w:cstheme="minorHAnsi"/>
          <w:sz w:val="22"/>
          <w:szCs w:val="22"/>
        </w:rPr>
        <w:t xml:space="preserve">increased </w:t>
      </w:r>
      <w:r w:rsidRPr="00D33A54">
        <w:rPr>
          <w:rFonts w:cstheme="minorHAnsi"/>
          <w:sz w:val="22"/>
          <w:szCs w:val="22"/>
        </w:rPr>
        <w:t xml:space="preserve">risk </w:t>
      </w:r>
      <w:r w:rsidR="009D3FDC" w:rsidRPr="00D33A54">
        <w:rPr>
          <w:rFonts w:cstheme="minorHAnsi"/>
          <w:sz w:val="22"/>
          <w:szCs w:val="22"/>
        </w:rPr>
        <w:t xml:space="preserve">of rupture and mortality </w:t>
      </w:r>
      <w:r w:rsidRPr="00D33A54">
        <w:rPr>
          <w:rFonts w:cstheme="minorHAnsi"/>
          <w:sz w:val="22"/>
          <w:szCs w:val="22"/>
        </w:rPr>
        <w:t>when considering endovascular repair</w:t>
      </w:r>
      <w:r w:rsidR="009D3FDC" w:rsidRPr="00D33A54">
        <w:rPr>
          <w:rFonts w:cstheme="minorHAnsi"/>
          <w:sz w:val="22"/>
          <w:szCs w:val="22"/>
        </w:rPr>
        <w:t xml:space="preserve">. For patients &gt;80 y/o, with renal dysfunction, loss of consciousness, and hemoglobin &lt;9, the chances of survival following open repair of ruptured AAA is almost zero. </w:t>
      </w:r>
      <w:r w:rsidR="009D3FDC" w:rsidRPr="00D33A54">
        <w:rPr>
          <w:rFonts w:cstheme="minorHAnsi"/>
          <w:sz w:val="22"/>
          <w:szCs w:val="22"/>
        </w:rPr>
        <w:t xml:space="preserve">Among </w:t>
      </w:r>
      <w:r w:rsidR="009D3FDC" w:rsidRPr="00D33A54">
        <w:rPr>
          <w:rFonts w:cstheme="minorHAnsi"/>
          <w:sz w:val="22"/>
          <w:szCs w:val="22"/>
        </w:rPr>
        <w:t>patients &gt;65 y/o</w:t>
      </w:r>
      <w:r w:rsidR="009D3FDC" w:rsidRPr="00D33A54">
        <w:rPr>
          <w:rFonts w:cstheme="minorHAnsi"/>
          <w:sz w:val="22"/>
          <w:szCs w:val="22"/>
        </w:rPr>
        <w:t xml:space="preserve"> endovascular repair is associated with an early survival advantage that gradually decreases over time.</w:t>
      </w:r>
    </w:p>
    <w:p w:rsidR="006D0D30" w:rsidRPr="00D33A54" w:rsidRDefault="006D0D30" w:rsidP="009D3FDC">
      <w:pPr>
        <w:ind w:firstLine="720"/>
        <w:rPr>
          <w:rFonts w:cstheme="minorHAnsi"/>
          <w:sz w:val="22"/>
          <w:szCs w:val="22"/>
        </w:rPr>
      </w:pPr>
      <w:r w:rsidRPr="00D33A54">
        <w:rPr>
          <w:rFonts w:cstheme="minorHAnsi"/>
          <w:sz w:val="22"/>
          <w:szCs w:val="22"/>
        </w:rPr>
        <w:t xml:space="preserve">One </w:t>
      </w:r>
      <w:r w:rsidR="00080FBA" w:rsidRPr="00D33A54">
        <w:rPr>
          <w:rFonts w:cstheme="minorHAnsi"/>
          <w:sz w:val="22"/>
          <w:szCs w:val="22"/>
        </w:rPr>
        <w:t xml:space="preserve">cohort </w:t>
      </w:r>
      <w:r w:rsidRPr="00D33A54">
        <w:rPr>
          <w:rFonts w:cstheme="minorHAnsi"/>
          <w:sz w:val="22"/>
          <w:szCs w:val="22"/>
        </w:rPr>
        <w:t>study</w:t>
      </w:r>
      <w:r w:rsidR="00080FBA" w:rsidRPr="00D33A54">
        <w:rPr>
          <w:rFonts w:cstheme="minorHAnsi"/>
          <w:sz w:val="22"/>
          <w:szCs w:val="22"/>
        </w:rPr>
        <w:t xml:space="preserve"> (n=39,966)</w:t>
      </w:r>
      <w:r w:rsidRPr="00D33A54">
        <w:rPr>
          <w:rFonts w:cstheme="minorHAnsi"/>
          <w:sz w:val="22"/>
          <w:szCs w:val="22"/>
        </w:rPr>
        <w:t xml:space="preserve"> </w:t>
      </w:r>
      <w:r w:rsidR="00647AD7" w:rsidRPr="00D33A54">
        <w:rPr>
          <w:rFonts w:cstheme="minorHAnsi"/>
          <w:sz w:val="22"/>
          <w:szCs w:val="22"/>
        </w:rPr>
        <w:t>found no significant long-term survival in</w:t>
      </w:r>
      <w:r w:rsidRPr="00D33A54">
        <w:rPr>
          <w:rFonts w:cstheme="minorHAnsi"/>
          <w:sz w:val="22"/>
          <w:szCs w:val="22"/>
        </w:rPr>
        <w:t xml:space="preserve"> patients &gt;65 y/o who have undergone endovascular repair of AAA</w:t>
      </w:r>
      <w:r w:rsidR="00647AD7" w:rsidRPr="00D33A54">
        <w:rPr>
          <w:rFonts w:cstheme="minorHAnsi"/>
          <w:sz w:val="22"/>
          <w:szCs w:val="22"/>
        </w:rPr>
        <w:t xml:space="preserve"> versus observation, although perioperative</w:t>
      </w:r>
      <w:r w:rsidR="00080FBA" w:rsidRPr="00D33A54">
        <w:rPr>
          <w:rFonts w:cstheme="minorHAnsi"/>
          <w:sz w:val="22"/>
          <w:szCs w:val="22"/>
        </w:rPr>
        <w:t xml:space="preserve"> (30-day)</w:t>
      </w:r>
      <w:r w:rsidR="00647AD7" w:rsidRPr="00D33A54">
        <w:rPr>
          <w:rFonts w:cstheme="minorHAnsi"/>
          <w:sz w:val="22"/>
          <w:szCs w:val="22"/>
        </w:rPr>
        <w:t xml:space="preserve"> survival rates were higher</w:t>
      </w:r>
      <w:r w:rsidR="00080FBA" w:rsidRPr="00D33A54">
        <w:rPr>
          <w:rFonts w:cstheme="minorHAnsi"/>
          <w:sz w:val="22"/>
          <w:szCs w:val="22"/>
        </w:rPr>
        <w:t xml:space="preserve"> for EVAR than those with open surgery</w:t>
      </w:r>
      <w:r w:rsidR="00647AD7" w:rsidRPr="00D33A54">
        <w:rPr>
          <w:rFonts w:cstheme="minorHAnsi"/>
          <w:sz w:val="22"/>
          <w:szCs w:val="22"/>
        </w:rPr>
        <w:t xml:space="preserve">. </w:t>
      </w:r>
      <w:r w:rsidR="00080FBA" w:rsidRPr="00D33A54">
        <w:rPr>
          <w:rFonts w:cstheme="minorHAnsi"/>
          <w:sz w:val="22"/>
          <w:szCs w:val="22"/>
        </w:rPr>
        <w:t xml:space="preserve">The survival advantage of EVAR lasted only through the first 3 years. </w:t>
      </w:r>
      <w:r w:rsidR="00647AD7" w:rsidRPr="00D33A54">
        <w:rPr>
          <w:rFonts w:cstheme="minorHAnsi"/>
          <w:sz w:val="22"/>
          <w:szCs w:val="22"/>
        </w:rPr>
        <w:t>Those with medical comorbidities often die from associated illnesses.</w:t>
      </w:r>
    </w:p>
    <w:p w:rsidR="004010E5" w:rsidRPr="00D33A54" w:rsidRDefault="00647AD7" w:rsidP="00647AD7">
      <w:pPr>
        <w:rPr>
          <w:rFonts w:cstheme="minorHAnsi"/>
          <w:b/>
          <w:bCs/>
          <w:sz w:val="22"/>
          <w:szCs w:val="22"/>
        </w:rPr>
      </w:pPr>
      <w:r w:rsidRPr="00D33A54">
        <w:rPr>
          <w:rFonts w:cstheme="minorHAnsi"/>
          <w:sz w:val="22"/>
          <w:szCs w:val="22"/>
        </w:rPr>
        <w:tab/>
      </w:r>
      <w:r w:rsidRPr="00D33A54">
        <w:rPr>
          <w:rFonts w:cstheme="minorHAnsi"/>
          <w:b/>
          <w:bCs/>
          <w:sz w:val="22"/>
          <w:szCs w:val="22"/>
        </w:rPr>
        <w:t>Source</w:t>
      </w:r>
      <w:r w:rsidR="00D33A54">
        <w:rPr>
          <w:rFonts w:cstheme="minorHAnsi"/>
          <w:b/>
          <w:bCs/>
          <w:sz w:val="22"/>
          <w:szCs w:val="22"/>
        </w:rPr>
        <w:t>s</w:t>
      </w:r>
      <w:r w:rsidRPr="00D33A54">
        <w:rPr>
          <w:rFonts w:cstheme="minorHAnsi"/>
          <w:b/>
          <w:bCs/>
          <w:sz w:val="22"/>
          <w:szCs w:val="22"/>
        </w:rPr>
        <w:t xml:space="preserve">: </w:t>
      </w:r>
    </w:p>
    <w:p w:rsidR="00647AD7" w:rsidRPr="00D33A54" w:rsidRDefault="004010E5" w:rsidP="004010E5">
      <w:pPr>
        <w:pStyle w:val="ListParagraph"/>
        <w:numPr>
          <w:ilvl w:val="0"/>
          <w:numId w:val="2"/>
        </w:numPr>
        <w:rPr>
          <w:rFonts w:eastAsia="Times New Roman" w:cstheme="minorHAnsi"/>
          <w:sz w:val="22"/>
          <w:szCs w:val="22"/>
        </w:rPr>
      </w:pPr>
      <w:hyperlink r:id="rId7" w:history="1">
        <w:r w:rsidRPr="00D33A54">
          <w:rPr>
            <w:rStyle w:val="Hyperlink"/>
            <w:rFonts w:eastAsia="Times New Roman" w:cstheme="minorHAnsi"/>
            <w:sz w:val="22"/>
            <w:szCs w:val="22"/>
          </w:rPr>
          <w:t>https://www-uptodate-com.york.ezproxy.cuny.edu/contents/management-of-asymptomatic-abdominal-aortic-aneurysm?search=abd</w:t>
        </w:r>
        <w:r w:rsidRPr="00D33A54">
          <w:rPr>
            <w:rStyle w:val="Hyperlink"/>
            <w:rFonts w:eastAsia="Times New Roman" w:cstheme="minorHAnsi"/>
            <w:sz w:val="22"/>
            <w:szCs w:val="22"/>
          </w:rPr>
          <w:t>o</w:t>
        </w:r>
        <w:r w:rsidRPr="00D33A54">
          <w:rPr>
            <w:rStyle w:val="Hyperlink"/>
            <w:rFonts w:eastAsia="Times New Roman" w:cstheme="minorHAnsi"/>
            <w:sz w:val="22"/>
            <w:szCs w:val="22"/>
          </w:rPr>
          <w:t>minal%20aortic%20aneurysm%20management&amp;source=search_result&amp;selectedTitle=1~150&amp;usage_type=default&amp;display_rank=1#H3585414</w:t>
        </w:r>
      </w:hyperlink>
    </w:p>
    <w:p w:rsidR="004010E5" w:rsidRPr="00D33A54" w:rsidRDefault="009E42A4" w:rsidP="004010E5">
      <w:pPr>
        <w:pStyle w:val="ListParagraph"/>
        <w:numPr>
          <w:ilvl w:val="0"/>
          <w:numId w:val="2"/>
        </w:numPr>
        <w:rPr>
          <w:rFonts w:eastAsia="Times New Roman" w:cstheme="minorHAnsi"/>
          <w:sz w:val="22"/>
          <w:szCs w:val="22"/>
        </w:rPr>
      </w:pPr>
      <w:r w:rsidRPr="00D33A54">
        <w:rPr>
          <w:rFonts w:eastAsia="Times New Roman" w:cstheme="minorHAnsi"/>
          <w:color w:val="0000FF"/>
          <w:sz w:val="22"/>
          <w:szCs w:val="22"/>
          <w:u w:val="single"/>
        </w:rPr>
        <w:lastRenderedPageBreak/>
        <w:fldChar w:fldCharType="begin"/>
      </w:r>
      <w:r w:rsidRPr="00D33A54">
        <w:rPr>
          <w:rFonts w:eastAsia="Times New Roman" w:cstheme="minorHAnsi"/>
          <w:color w:val="0000FF"/>
          <w:sz w:val="22"/>
          <w:szCs w:val="22"/>
          <w:u w:val="single"/>
        </w:rPr>
        <w:instrText xml:space="preserve"> HYPERLINK "https://www-uptodate-com.york.ezproxy.cuny.edu/contents/management-of-symptomatic-non-ruptured-and-ruptured-abdominal-aortic-aneurysm?search=abdominal%20aortic%20aneurysm%20management&amp;source=search_result&amp;selectedTitle=2~150&amp;usage_type=default&amp;display_rank=2#H933044043" </w:instrText>
      </w:r>
      <w:r w:rsidRPr="00D33A54">
        <w:rPr>
          <w:rFonts w:eastAsia="Times New Roman" w:cstheme="minorHAnsi"/>
          <w:color w:val="0000FF"/>
          <w:sz w:val="22"/>
          <w:szCs w:val="22"/>
          <w:u w:val="single"/>
        </w:rPr>
        <w:fldChar w:fldCharType="separate"/>
      </w:r>
      <w:r w:rsidRPr="00D33A54">
        <w:rPr>
          <w:rStyle w:val="Hyperlink"/>
          <w:rFonts w:eastAsia="Times New Roman" w:cstheme="minorHAnsi"/>
          <w:sz w:val="22"/>
          <w:szCs w:val="22"/>
        </w:rPr>
        <w:t>https://www-uptodate-com.york.ezproxy.cuny.edu/contents/management-of-symptomatic-non-ruptured-and-ruptured-abdominal-aortic-aneurysm?search=abdominal%20aortic%20aneurysm%20management&amp;source=search_result&amp;selectedTitle=2~150&amp;usage_type=default&amp;display_rank=2#H933044043</w:t>
      </w:r>
      <w:r w:rsidRPr="00D33A54">
        <w:rPr>
          <w:rFonts w:eastAsia="Times New Roman" w:cstheme="minorHAnsi"/>
          <w:color w:val="0000FF"/>
          <w:sz w:val="22"/>
          <w:szCs w:val="22"/>
          <w:u w:val="single"/>
        </w:rPr>
        <w:fldChar w:fldCharType="end"/>
      </w:r>
    </w:p>
    <w:p w:rsidR="004010E5" w:rsidRPr="00D33A54" w:rsidRDefault="004010E5" w:rsidP="00647AD7">
      <w:pPr>
        <w:rPr>
          <w:rFonts w:eastAsia="Times New Roman" w:cstheme="minorHAnsi"/>
          <w:sz w:val="22"/>
          <w:szCs w:val="22"/>
        </w:rPr>
      </w:pPr>
    </w:p>
    <w:p w:rsidR="00647AD7" w:rsidRPr="00D33A54" w:rsidRDefault="00647AD7">
      <w:pPr>
        <w:rPr>
          <w:rFonts w:cstheme="minorHAnsi"/>
          <w:b/>
          <w:bCs/>
          <w:sz w:val="22"/>
          <w:szCs w:val="22"/>
        </w:rPr>
      </w:pPr>
    </w:p>
    <w:p w:rsidR="003E0165" w:rsidRPr="00D33A54" w:rsidRDefault="003E0165">
      <w:pPr>
        <w:rPr>
          <w:rFonts w:cstheme="minorHAnsi"/>
          <w:sz w:val="22"/>
          <w:szCs w:val="22"/>
        </w:rPr>
      </w:pPr>
    </w:p>
    <w:p w:rsidR="003E0165" w:rsidRPr="00D33A54" w:rsidRDefault="003E0165">
      <w:pPr>
        <w:rPr>
          <w:rFonts w:cstheme="minorHAnsi"/>
          <w:b/>
          <w:bCs/>
          <w:sz w:val="22"/>
          <w:szCs w:val="22"/>
        </w:rPr>
      </w:pPr>
      <w:r w:rsidRPr="00D33A54">
        <w:rPr>
          <w:rFonts w:cstheme="minorHAnsi"/>
          <w:b/>
          <w:bCs/>
          <w:sz w:val="22"/>
          <w:szCs w:val="22"/>
        </w:rPr>
        <w:t>What are the effects of general anesthesia on cognition in the very elderly?</w:t>
      </w:r>
    </w:p>
    <w:p w:rsidR="003E0165" w:rsidRPr="00D33A54" w:rsidRDefault="00647AD7">
      <w:pPr>
        <w:rPr>
          <w:rFonts w:cstheme="minorHAnsi"/>
          <w:sz w:val="22"/>
          <w:szCs w:val="22"/>
        </w:rPr>
      </w:pPr>
      <w:r w:rsidRPr="00D33A54">
        <w:rPr>
          <w:rFonts w:cstheme="minorHAnsi"/>
          <w:sz w:val="22"/>
          <w:szCs w:val="22"/>
        </w:rPr>
        <w:tab/>
        <w:t>There are a number of potential complications to consider in general anesthesia of older adults. Systematically, the most concerning complications are cardiac, pulmonary, hepatic, renal, and CNS.</w:t>
      </w:r>
      <w:r w:rsidR="004010E5" w:rsidRPr="00D33A54">
        <w:rPr>
          <w:rFonts w:cstheme="minorHAnsi"/>
          <w:sz w:val="22"/>
          <w:szCs w:val="22"/>
        </w:rPr>
        <w:t xml:space="preserve"> Regarding the neurological effects of general anesthesia in the very elderly:</w:t>
      </w:r>
    </w:p>
    <w:p w:rsidR="00647AD7" w:rsidRPr="00D33A54" w:rsidRDefault="00647AD7">
      <w:pPr>
        <w:rPr>
          <w:rFonts w:cstheme="minorHAnsi"/>
          <w:sz w:val="22"/>
          <w:szCs w:val="22"/>
        </w:rPr>
      </w:pPr>
      <w:r w:rsidRPr="00D33A54">
        <w:rPr>
          <w:rFonts w:cstheme="minorHAnsi"/>
          <w:sz w:val="22"/>
          <w:szCs w:val="22"/>
        </w:rPr>
        <w:tab/>
        <w:t xml:space="preserve">CNS: increased sensitivity to all IV agents that act on the CNS. </w:t>
      </w:r>
      <w:r w:rsidR="004010E5" w:rsidRPr="00D33A54">
        <w:rPr>
          <w:rFonts w:cstheme="minorHAnsi"/>
          <w:sz w:val="22"/>
          <w:szCs w:val="22"/>
        </w:rPr>
        <w:t>There is l</w:t>
      </w:r>
      <w:r w:rsidRPr="00D33A54">
        <w:rPr>
          <w:rFonts w:cstheme="minorHAnsi"/>
          <w:sz w:val="22"/>
          <w:szCs w:val="22"/>
        </w:rPr>
        <w:t>oss of ventilatory response to hypercapnia and hypoxemia. Be very careful with resp depression from opioids, benzodiazepines, and volatile anesthetics.</w:t>
      </w:r>
    </w:p>
    <w:p w:rsidR="004010E5" w:rsidRPr="00D33A54" w:rsidRDefault="004010E5">
      <w:pPr>
        <w:rPr>
          <w:rFonts w:cstheme="minorHAnsi"/>
          <w:sz w:val="22"/>
          <w:szCs w:val="22"/>
        </w:rPr>
      </w:pPr>
      <w:r w:rsidRPr="00D33A54">
        <w:rPr>
          <w:rFonts w:cstheme="minorHAnsi"/>
          <w:sz w:val="22"/>
          <w:szCs w:val="22"/>
        </w:rPr>
        <w:tab/>
        <w:t>PNS: reduction in myelinated fibers resulting in higher pain threshold, contributing to delayed presentations of painful conditions such as appendicitis and peritonitis.</w:t>
      </w:r>
    </w:p>
    <w:p w:rsidR="004010E5" w:rsidRPr="00D33A54" w:rsidRDefault="004010E5">
      <w:pPr>
        <w:rPr>
          <w:rFonts w:cstheme="minorHAnsi"/>
          <w:sz w:val="22"/>
          <w:szCs w:val="22"/>
        </w:rPr>
      </w:pPr>
      <w:r w:rsidRPr="00D33A54">
        <w:rPr>
          <w:rFonts w:cstheme="minorHAnsi"/>
          <w:sz w:val="22"/>
          <w:szCs w:val="22"/>
        </w:rPr>
        <w:tab/>
      </w:r>
      <w:bookmarkStart w:id="0" w:name="_GoBack"/>
      <w:bookmarkEnd w:id="0"/>
      <w:r w:rsidRPr="00D33A54">
        <w:rPr>
          <w:rFonts w:cstheme="minorHAnsi"/>
          <w:sz w:val="22"/>
          <w:szCs w:val="22"/>
        </w:rPr>
        <w:t>Advanced age is a risk factor for perioperative neurocognitive disorders. Postoperative delirium is relatively common after major surgery in older patients (4-55%), up to 40% of those never returning to preop baseline. Postoperative delirium portends a greate</w:t>
      </w:r>
      <w:r w:rsidR="00CC5DBB" w:rsidRPr="00D33A54">
        <w:rPr>
          <w:rFonts w:cstheme="minorHAnsi"/>
          <w:sz w:val="22"/>
          <w:szCs w:val="22"/>
        </w:rPr>
        <w:t>r</w:t>
      </w:r>
      <w:r w:rsidRPr="00D33A54">
        <w:rPr>
          <w:rFonts w:cstheme="minorHAnsi"/>
          <w:sz w:val="22"/>
          <w:szCs w:val="22"/>
        </w:rPr>
        <w:t xml:space="preserve"> decline in overall function and is associated with longer hospital stay, higher rate of discharge to a nursing home, and a higher rate of mortality.</w:t>
      </w:r>
    </w:p>
    <w:p w:rsidR="00647AD7" w:rsidRPr="00D33A54" w:rsidRDefault="00647AD7" w:rsidP="00647AD7">
      <w:pPr>
        <w:rPr>
          <w:rFonts w:eastAsia="Times New Roman" w:cstheme="minorHAnsi"/>
          <w:sz w:val="22"/>
          <w:szCs w:val="22"/>
        </w:rPr>
      </w:pPr>
      <w:r w:rsidRPr="00D33A54">
        <w:rPr>
          <w:rFonts w:cstheme="minorHAnsi"/>
          <w:sz w:val="22"/>
          <w:szCs w:val="22"/>
        </w:rPr>
        <w:tab/>
      </w:r>
      <w:r w:rsidRPr="00D33A54">
        <w:rPr>
          <w:rFonts w:cstheme="minorHAnsi"/>
          <w:b/>
          <w:bCs/>
          <w:sz w:val="22"/>
          <w:szCs w:val="22"/>
        </w:rPr>
        <w:t xml:space="preserve">Source: </w:t>
      </w:r>
      <w:hyperlink r:id="rId8" w:anchor="H251746700" w:history="1">
        <w:r w:rsidRPr="00D33A54">
          <w:rPr>
            <w:rFonts w:eastAsia="Times New Roman" w:cstheme="minorHAnsi"/>
            <w:color w:val="0000FF"/>
            <w:sz w:val="22"/>
            <w:szCs w:val="22"/>
            <w:u w:val="single"/>
          </w:rPr>
          <w:t>https://www-uptodate-com.york.ezproxy.cuny.edu/contents/anesthesia-for-the-older-adult?search=general%20anesthesia%20complications&amp;source=search_result&amp;selectedTitle=1~150&amp;usage_type=default&amp;display_rank=1#H251746700</w:t>
        </w:r>
      </w:hyperlink>
    </w:p>
    <w:p w:rsidR="00647AD7" w:rsidRPr="00D33A54" w:rsidRDefault="00647AD7">
      <w:pPr>
        <w:rPr>
          <w:rFonts w:cstheme="minorHAnsi"/>
          <w:sz w:val="22"/>
          <w:szCs w:val="22"/>
        </w:rPr>
      </w:pPr>
    </w:p>
    <w:sectPr w:rsidR="00647AD7" w:rsidRPr="00D33A54" w:rsidSect="002F3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B3905"/>
    <w:multiLevelType w:val="hybridMultilevel"/>
    <w:tmpl w:val="5C86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D2D03"/>
    <w:multiLevelType w:val="hybridMultilevel"/>
    <w:tmpl w:val="EA8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65"/>
    <w:rsid w:val="00080FBA"/>
    <w:rsid w:val="002F3DEC"/>
    <w:rsid w:val="003C0CFB"/>
    <w:rsid w:val="003E0165"/>
    <w:rsid w:val="004010E5"/>
    <w:rsid w:val="00567BA3"/>
    <w:rsid w:val="00647AD7"/>
    <w:rsid w:val="006522FE"/>
    <w:rsid w:val="006D0D30"/>
    <w:rsid w:val="00907666"/>
    <w:rsid w:val="009D3FDC"/>
    <w:rsid w:val="009E42A4"/>
    <w:rsid w:val="00CC5DBB"/>
    <w:rsid w:val="00D33A54"/>
    <w:rsid w:val="00D85AFE"/>
    <w:rsid w:val="00F6545E"/>
    <w:rsid w:val="00FC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2798B"/>
  <w15:chartTrackingRefBased/>
  <w15:docId w15:val="{89CD755D-4274-254E-B80D-7A1722C9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D30"/>
    <w:rPr>
      <w:color w:val="0000FF"/>
      <w:u w:val="single"/>
    </w:rPr>
  </w:style>
  <w:style w:type="paragraph" w:styleId="ListParagraph">
    <w:name w:val="List Paragraph"/>
    <w:basedOn w:val="Normal"/>
    <w:uiPriority w:val="34"/>
    <w:qFormat/>
    <w:rsid w:val="006D0D30"/>
    <w:pPr>
      <w:ind w:left="720"/>
      <w:contextualSpacing/>
    </w:pPr>
  </w:style>
  <w:style w:type="character" w:styleId="UnresolvedMention">
    <w:name w:val="Unresolved Mention"/>
    <w:basedOn w:val="DefaultParagraphFont"/>
    <w:uiPriority w:val="99"/>
    <w:semiHidden/>
    <w:unhideWhenUsed/>
    <w:rsid w:val="006D0D30"/>
    <w:rPr>
      <w:color w:val="605E5C"/>
      <w:shd w:val="clear" w:color="auto" w:fill="E1DFDD"/>
    </w:rPr>
  </w:style>
  <w:style w:type="character" w:styleId="FollowedHyperlink">
    <w:name w:val="FollowedHyperlink"/>
    <w:basedOn w:val="DefaultParagraphFont"/>
    <w:uiPriority w:val="99"/>
    <w:semiHidden/>
    <w:unhideWhenUsed/>
    <w:rsid w:val="00080F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3760">
      <w:bodyDiv w:val="1"/>
      <w:marLeft w:val="0"/>
      <w:marRight w:val="0"/>
      <w:marTop w:val="0"/>
      <w:marBottom w:val="0"/>
      <w:divBdr>
        <w:top w:val="none" w:sz="0" w:space="0" w:color="auto"/>
        <w:left w:val="none" w:sz="0" w:space="0" w:color="auto"/>
        <w:bottom w:val="none" w:sz="0" w:space="0" w:color="auto"/>
        <w:right w:val="none" w:sz="0" w:space="0" w:color="auto"/>
      </w:divBdr>
    </w:div>
    <w:div w:id="394209848">
      <w:bodyDiv w:val="1"/>
      <w:marLeft w:val="0"/>
      <w:marRight w:val="0"/>
      <w:marTop w:val="0"/>
      <w:marBottom w:val="0"/>
      <w:divBdr>
        <w:top w:val="none" w:sz="0" w:space="0" w:color="auto"/>
        <w:left w:val="none" w:sz="0" w:space="0" w:color="auto"/>
        <w:bottom w:val="none" w:sz="0" w:space="0" w:color="auto"/>
        <w:right w:val="none" w:sz="0" w:space="0" w:color="auto"/>
      </w:divBdr>
    </w:div>
    <w:div w:id="471605902">
      <w:bodyDiv w:val="1"/>
      <w:marLeft w:val="0"/>
      <w:marRight w:val="0"/>
      <w:marTop w:val="0"/>
      <w:marBottom w:val="0"/>
      <w:divBdr>
        <w:top w:val="none" w:sz="0" w:space="0" w:color="auto"/>
        <w:left w:val="none" w:sz="0" w:space="0" w:color="auto"/>
        <w:bottom w:val="none" w:sz="0" w:space="0" w:color="auto"/>
        <w:right w:val="none" w:sz="0" w:space="0" w:color="auto"/>
      </w:divBdr>
    </w:div>
    <w:div w:id="1039817426">
      <w:bodyDiv w:val="1"/>
      <w:marLeft w:val="0"/>
      <w:marRight w:val="0"/>
      <w:marTop w:val="0"/>
      <w:marBottom w:val="0"/>
      <w:divBdr>
        <w:top w:val="none" w:sz="0" w:space="0" w:color="auto"/>
        <w:left w:val="none" w:sz="0" w:space="0" w:color="auto"/>
        <w:bottom w:val="none" w:sz="0" w:space="0" w:color="auto"/>
        <w:right w:val="none" w:sz="0" w:space="0" w:color="auto"/>
      </w:divBdr>
    </w:div>
    <w:div w:id="1188838080">
      <w:bodyDiv w:val="1"/>
      <w:marLeft w:val="0"/>
      <w:marRight w:val="0"/>
      <w:marTop w:val="0"/>
      <w:marBottom w:val="0"/>
      <w:divBdr>
        <w:top w:val="none" w:sz="0" w:space="0" w:color="auto"/>
        <w:left w:val="none" w:sz="0" w:space="0" w:color="auto"/>
        <w:bottom w:val="none" w:sz="0" w:space="0" w:color="auto"/>
        <w:right w:val="none" w:sz="0" w:space="0" w:color="auto"/>
      </w:divBdr>
    </w:div>
    <w:div w:id="1757632410">
      <w:bodyDiv w:val="1"/>
      <w:marLeft w:val="0"/>
      <w:marRight w:val="0"/>
      <w:marTop w:val="0"/>
      <w:marBottom w:val="0"/>
      <w:divBdr>
        <w:top w:val="none" w:sz="0" w:space="0" w:color="auto"/>
        <w:left w:val="none" w:sz="0" w:space="0" w:color="auto"/>
        <w:bottom w:val="none" w:sz="0" w:space="0" w:color="auto"/>
        <w:right w:val="none" w:sz="0" w:space="0" w:color="auto"/>
      </w:divBdr>
    </w:div>
    <w:div w:id="195497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york.ezproxy.cuny.edu/contents/anesthesia-for-the-older-adult?search=general%20anesthesia%20complications&amp;source=search_result&amp;selectedTitle=1~150&amp;usage_type=default&amp;display_rank=1" TargetMode="External"/><Relationship Id="rId3" Type="http://schemas.openxmlformats.org/officeDocument/2006/relationships/settings" Target="settings.xml"/><Relationship Id="rId7" Type="http://schemas.openxmlformats.org/officeDocument/2006/relationships/hyperlink" Target="https://www-uptodate-com.york.ezproxy.cuny.edu/contents/management-of-asymptomatic-abdominal-aortic-aneurysm?search=abdominal%20aortic%20aneurysm%20management&amp;source=search_result&amp;selectedTitle=1~150&amp;usage_type=default&amp;display_rank=1#H35854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scape.com/viewarticle/762323" TargetMode="External"/><Relationship Id="rId5" Type="http://schemas.openxmlformats.org/officeDocument/2006/relationships/hyperlink" Target="https://www-uptodate-com.york.ezproxy.cuny.edu/contents/the-aging-kidney?search=creatinine%20elderly&amp;source=search_result&amp;selectedTitle=1~150&amp;usage_type=default&amp;display_rank=1#H953083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Oatman</dc:creator>
  <cp:keywords/>
  <dc:description/>
  <cp:lastModifiedBy>Erik Oatman</cp:lastModifiedBy>
  <cp:revision>10</cp:revision>
  <dcterms:created xsi:type="dcterms:W3CDTF">2020-05-04T14:59:00Z</dcterms:created>
  <dcterms:modified xsi:type="dcterms:W3CDTF">2020-05-06T16:31:00Z</dcterms:modified>
</cp:coreProperties>
</file>