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3A52" w:rsidRPr="00935D30" w:rsidRDefault="00403A52" w:rsidP="00935D30">
      <w:pPr>
        <w:rPr>
          <w:rFonts w:cstheme="minorHAnsi"/>
        </w:rPr>
      </w:pPr>
      <w:r w:rsidRPr="00935D30">
        <w:rPr>
          <w:rFonts w:cstheme="minorHAnsi"/>
        </w:rPr>
        <w:t xml:space="preserve">Erik </w:t>
      </w:r>
      <w:proofErr w:type="spellStart"/>
      <w:r w:rsidRPr="00935D30">
        <w:rPr>
          <w:rFonts w:cstheme="minorHAnsi"/>
        </w:rPr>
        <w:t>Oatman</w:t>
      </w:r>
      <w:proofErr w:type="spellEnd"/>
    </w:p>
    <w:p w:rsidR="00403A52" w:rsidRPr="00935D30" w:rsidRDefault="00403A52" w:rsidP="00935D30">
      <w:pPr>
        <w:rPr>
          <w:rFonts w:cstheme="minorHAnsi"/>
        </w:rPr>
      </w:pPr>
      <w:r w:rsidRPr="00935D30">
        <w:rPr>
          <w:rFonts w:cstheme="minorHAnsi"/>
        </w:rPr>
        <w:t xml:space="preserve">Online Clin </w:t>
      </w:r>
      <w:proofErr w:type="spellStart"/>
      <w:r w:rsidRPr="00935D30">
        <w:rPr>
          <w:rFonts w:cstheme="minorHAnsi"/>
        </w:rPr>
        <w:t>Corr</w:t>
      </w:r>
      <w:proofErr w:type="spellEnd"/>
    </w:p>
    <w:p w:rsidR="00403A52" w:rsidRPr="00935D30" w:rsidRDefault="00403A52" w:rsidP="00935D30">
      <w:pPr>
        <w:rPr>
          <w:rFonts w:cstheme="minorHAnsi"/>
        </w:rPr>
      </w:pPr>
      <w:proofErr w:type="spellStart"/>
      <w:r w:rsidRPr="00935D30">
        <w:rPr>
          <w:rFonts w:cstheme="minorHAnsi"/>
        </w:rPr>
        <w:t>Wk</w:t>
      </w:r>
      <w:proofErr w:type="spellEnd"/>
      <w:r w:rsidRPr="00935D30">
        <w:rPr>
          <w:rFonts w:cstheme="minorHAnsi"/>
        </w:rPr>
        <w:t xml:space="preserve"> 6 Peds</w:t>
      </w:r>
    </w:p>
    <w:p w:rsidR="00403A52" w:rsidRPr="00935D30" w:rsidRDefault="00403A52" w:rsidP="00935D30">
      <w:pPr>
        <w:rPr>
          <w:rFonts w:cstheme="minorHAnsi"/>
        </w:rPr>
      </w:pPr>
      <w:r w:rsidRPr="00935D30">
        <w:rPr>
          <w:rFonts w:cstheme="minorHAnsi"/>
        </w:rPr>
        <w:t>Prof. Maida</w:t>
      </w:r>
    </w:p>
    <w:p w:rsidR="00403A52" w:rsidRPr="00935D30" w:rsidRDefault="00403A52" w:rsidP="00935D30">
      <w:pPr>
        <w:rPr>
          <w:rFonts w:cstheme="minorHAnsi"/>
        </w:rPr>
      </w:pPr>
    </w:p>
    <w:p w:rsidR="00403A52" w:rsidRPr="00935D30" w:rsidRDefault="00403A52" w:rsidP="00935D30">
      <w:pPr>
        <w:rPr>
          <w:rFonts w:cstheme="minorHAnsi"/>
          <w:b/>
          <w:bCs/>
          <w:u w:val="single"/>
        </w:rPr>
      </w:pPr>
      <w:r w:rsidRPr="00935D30">
        <w:rPr>
          <w:rFonts w:cstheme="minorHAnsi"/>
          <w:b/>
          <w:bCs/>
          <w:u w:val="single"/>
        </w:rPr>
        <w:t>Kawasaki Disease: Diagnostic Criteria, Work</w:t>
      </w:r>
      <w:r w:rsidR="008E3759" w:rsidRPr="00935D30">
        <w:rPr>
          <w:rFonts w:cstheme="minorHAnsi"/>
          <w:b/>
          <w:bCs/>
          <w:u w:val="single"/>
        </w:rPr>
        <w:t>-</w:t>
      </w:r>
      <w:r w:rsidRPr="00935D30">
        <w:rPr>
          <w:rFonts w:cstheme="minorHAnsi"/>
          <w:b/>
          <w:bCs/>
          <w:u w:val="single"/>
        </w:rPr>
        <w:t>Up, and Treatment</w:t>
      </w:r>
    </w:p>
    <w:p w:rsidR="00A279DA" w:rsidRPr="00935D30" w:rsidRDefault="00A279DA" w:rsidP="00935D30">
      <w:pPr>
        <w:rPr>
          <w:rFonts w:cstheme="minorHAnsi"/>
          <w:color w:val="232323"/>
          <w:shd w:val="clear" w:color="auto" w:fill="FFFFFF"/>
        </w:rPr>
      </w:pPr>
      <w:r w:rsidRPr="00935D30">
        <w:rPr>
          <w:rFonts w:cstheme="minorHAnsi"/>
        </w:rPr>
        <w:tab/>
      </w:r>
      <w:r w:rsidRPr="00935D30">
        <w:rPr>
          <w:rFonts w:cstheme="minorHAnsi"/>
          <w:color w:val="232323"/>
          <w:shd w:val="clear" w:color="auto" w:fill="FFFFFF"/>
        </w:rPr>
        <w:t xml:space="preserve">Kawasaki disease (KD, previously called mucocutaneous lymph node syndrome) is one of the most common </w:t>
      </w:r>
      <w:proofErr w:type="spellStart"/>
      <w:r w:rsidRPr="00935D30">
        <w:rPr>
          <w:rFonts w:cstheme="minorHAnsi"/>
          <w:color w:val="232323"/>
          <w:shd w:val="clear" w:color="auto" w:fill="FFFFFF"/>
        </w:rPr>
        <w:t>vasculitides</w:t>
      </w:r>
      <w:proofErr w:type="spellEnd"/>
      <w:r w:rsidRPr="00935D30">
        <w:rPr>
          <w:rFonts w:cstheme="minorHAnsi"/>
          <w:color w:val="232323"/>
          <w:shd w:val="clear" w:color="auto" w:fill="FFFFFF"/>
        </w:rPr>
        <w:t xml:space="preserve"> of childhood [</w:t>
      </w:r>
      <w:hyperlink r:id="rId5" w:history="1">
        <w:r w:rsidRPr="00935D30">
          <w:rPr>
            <w:rStyle w:val="Hyperlink"/>
            <w:rFonts w:cstheme="minorHAnsi"/>
            <w:color w:val="00905A"/>
            <w:shd w:val="clear" w:color="auto" w:fill="FFFFFF"/>
          </w:rPr>
          <w:t>1</w:t>
        </w:r>
      </w:hyperlink>
      <w:r w:rsidRPr="00935D30">
        <w:rPr>
          <w:rFonts w:cstheme="minorHAnsi"/>
          <w:color w:val="232323"/>
          <w:shd w:val="clear" w:color="auto" w:fill="FFFFFF"/>
        </w:rPr>
        <w:t>]. KD also occurs rarely in adults. It is typically a self-limited condition, with fever and manifestations of acute inflammation lasting for an average of 12 days without therapy [</w:t>
      </w:r>
      <w:hyperlink r:id="rId6" w:history="1">
        <w:r w:rsidRPr="00935D30">
          <w:rPr>
            <w:rStyle w:val="Hyperlink"/>
            <w:rFonts w:cstheme="minorHAnsi"/>
            <w:color w:val="00905A"/>
            <w:shd w:val="clear" w:color="auto" w:fill="FFFFFF"/>
          </w:rPr>
          <w:t>2</w:t>
        </w:r>
      </w:hyperlink>
      <w:r w:rsidRPr="00935D30">
        <w:rPr>
          <w:rFonts w:cstheme="minorHAnsi"/>
          <w:color w:val="232323"/>
          <w:shd w:val="clear" w:color="auto" w:fill="FFFFFF"/>
        </w:rPr>
        <w:t>]. However, complications such as coronary artery (CA) aneurysms, depressed myocardial contractility and heart failure, myocardial infarction, arrhythmias, and peripheral arterial occlusion may develop and lead to significant morbidity and mortality.</w:t>
      </w:r>
    </w:p>
    <w:p w:rsidR="00935D30" w:rsidRPr="00935D30" w:rsidRDefault="00935D30" w:rsidP="00935D30">
      <w:pPr>
        <w:rPr>
          <w:rFonts w:eastAsia="Times New Roman" w:cstheme="minorHAnsi"/>
        </w:rPr>
      </w:pPr>
      <w:r w:rsidRPr="00935D30">
        <w:rPr>
          <w:rFonts w:cstheme="minorHAnsi"/>
          <w:color w:val="232323"/>
          <w:shd w:val="clear" w:color="auto" w:fill="FFFFFF"/>
        </w:rPr>
        <w:tab/>
      </w:r>
      <w:r w:rsidRPr="00935D30">
        <w:rPr>
          <w:rFonts w:eastAsia="Times New Roman" w:cstheme="minorHAnsi"/>
          <w:color w:val="000000"/>
          <w:shd w:val="clear" w:color="auto" w:fill="FFFFFF"/>
        </w:rPr>
        <w:t>T</w:t>
      </w:r>
      <w:r w:rsidRPr="00935D30">
        <w:rPr>
          <w:rFonts w:eastAsia="Times New Roman" w:cstheme="minorHAnsi"/>
          <w:color w:val="000000"/>
          <w:shd w:val="clear" w:color="auto" w:fill="FFFFFF"/>
        </w:rPr>
        <w:t xml:space="preserve">he etiology of Kawasaki disease still remains unknown. A number of microorganisms including bacteria, viruses, </w:t>
      </w:r>
      <w:proofErr w:type="spellStart"/>
      <w:r w:rsidRPr="00935D30">
        <w:rPr>
          <w:rFonts w:eastAsia="Times New Roman" w:cstheme="minorHAnsi"/>
          <w:color w:val="000000"/>
          <w:shd w:val="clear" w:color="auto" w:fill="FFFFFF"/>
        </w:rPr>
        <w:t>rickettsiae</w:t>
      </w:r>
      <w:proofErr w:type="spellEnd"/>
      <w:r w:rsidRPr="00935D30">
        <w:rPr>
          <w:rFonts w:eastAsia="Times New Roman" w:cstheme="minorHAnsi"/>
          <w:color w:val="000000"/>
          <w:shd w:val="clear" w:color="auto" w:fill="FFFFFF"/>
        </w:rPr>
        <w:t xml:space="preserve"> etc. were hypothesized as an etiology of the illness. Unfortunately, no specific agent that provides reproducible evidence has yet reported.</w:t>
      </w:r>
    </w:p>
    <w:p w:rsidR="00A279DA" w:rsidRPr="00935D30" w:rsidRDefault="00A279DA" w:rsidP="00935D30">
      <w:pPr>
        <w:rPr>
          <w:rFonts w:cstheme="minorHAnsi"/>
          <w:b/>
          <w:bCs/>
          <w:u w:val="single"/>
        </w:rPr>
      </w:pPr>
      <w:bookmarkStart w:id="0" w:name="_GoBack"/>
      <w:bookmarkEnd w:id="0"/>
    </w:p>
    <w:p w:rsidR="008E3759" w:rsidRPr="00935D30" w:rsidRDefault="00403A52" w:rsidP="00935D30">
      <w:pPr>
        <w:rPr>
          <w:rFonts w:cstheme="minorHAnsi"/>
          <w:b/>
          <w:bCs/>
        </w:rPr>
      </w:pPr>
      <w:r w:rsidRPr="00935D30">
        <w:rPr>
          <w:rFonts w:cstheme="minorHAnsi"/>
          <w:b/>
          <w:bCs/>
        </w:rPr>
        <w:t>Dx Criteria:</w:t>
      </w:r>
    </w:p>
    <w:p w:rsidR="00403A52" w:rsidRPr="00935D30" w:rsidRDefault="00403A52" w:rsidP="00935D30">
      <w:pPr>
        <w:ind w:firstLine="480"/>
        <w:rPr>
          <w:rFonts w:cstheme="minorHAnsi"/>
        </w:rPr>
      </w:pPr>
      <w:r w:rsidRPr="00935D30">
        <w:rPr>
          <w:rFonts w:cstheme="minorHAnsi"/>
        </w:rPr>
        <w:t>Diagnostic criteria developed by</w:t>
      </w:r>
      <w:r w:rsidRPr="00935D30">
        <w:rPr>
          <w:rFonts w:cstheme="minorHAnsi"/>
          <w:b/>
          <w:bCs/>
        </w:rPr>
        <w:t xml:space="preserve"> </w:t>
      </w:r>
      <w:proofErr w:type="spellStart"/>
      <w:r w:rsidRPr="00935D30">
        <w:rPr>
          <w:rFonts w:cstheme="minorHAnsi"/>
        </w:rPr>
        <w:t>Tomisaku</w:t>
      </w:r>
      <w:proofErr w:type="spellEnd"/>
      <w:r w:rsidRPr="00935D30">
        <w:rPr>
          <w:rFonts w:cstheme="minorHAnsi"/>
        </w:rPr>
        <w:t xml:space="preserve"> Kawasaki in 1967.</w:t>
      </w:r>
      <w:r w:rsidR="008E3759" w:rsidRPr="00935D30">
        <w:rPr>
          <w:rFonts w:cstheme="minorHAnsi"/>
        </w:rPr>
        <w:t xml:space="preserve"> </w:t>
      </w:r>
      <w:r w:rsidRPr="00935D30">
        <w:rPr>
          <w:rFonts w:cstheme="minorHAnsi"/>
        </w:rPr>
        <w:t xml:space="preserve">Requires the presence of </w:t>
      </w:r>
      <w:r w:rsidRPr="00935D30">
        <w:rPr>
          <w:rFonts w:cstheme="minorHAnsi"/>
          <w:b/>
          <w:bCs/>
          <w:i/>
          <w:iCs/>
        </w:rPr>
        <w:t xml:space="preserve">fever </w:t>
      </w:r>
      <w:r w:rsidRPr="00935D30">
        <w:rPr>
          <w:rFonts w:cstheme="minorHAnsi"/>
          <w:b/>
          <w:bCs/>
          <w:i/>
          <w:iCs/>
          <w:color w:val="232323"/>
        </w:rPr>
        <w:t>lasting ≥5 days</w:t>
      </w:r>
      <w:r w:rsidRPr="00935D30">
        <w:rPr>
          <w:rFonts w:cstheme="minorHAnsi"/>
          <w:color w:val="232323"/>
        </w:rPr>
        <w:t xml:space="preserve">, combined </w:t>
      </w:r>
      <w:r w:rsidRPr="00935D30">
        <w:rPr>
          <w:rFonts w:cstheme="minorHAnsi"/>
          <w:b/>
          <w:bCs/>
          <w:i/>
          <w:iCs/>
          <w:color w:val="232323"/>
        </w:rPr>
        <w:t>with</w:t>
      </w:r>
      <w:r w:rsidRPr="00935D30">
        <w:rPr>
          <w:rFonts w:cstheme="minorHAnsi"/>
          <w:color w:val="232323"/>
        </w:rPr>
        <w:t xml:space="preserve"> </w:t>
      </w:r>
      <w:r w:rsidRPr="00935D30">
        <w:rPr>
          <w:rFonts w:cstheme="minorHAnsi"/>
          <w:b/>
          <w:bCs/>
          <w:i/>
          <w:iCs/>
          <w:color w:val="232323"/>
        </w:rPr>
        <w:t>at least four</w:t>
      </w:r>
      <w:r w:rsidRPr="00935D30">
        <w:rPr>
          <w:rFonts w:cstheme="minorHAnsi"/>
          <w:color w:val="232323"/>
        </w:rPr>
        <w:t xml:space="preserve"> of the five following physical findings, without an alternative explanation (</w:t>
      </w:r>
      <w:hyperlink r:id="rId7" w:history="1">
        <w:r w:rsidRPr="00935D30">
          <w:rPr>
            <w:rStyle w:val="Hyperlink"/>
            <w:rFonts w:cstheme="minorHAnsi"/>
            <w:color w:val="00905A"/>
          </w:rPr>
          <w:t>table 1</w:t>
        </w:r>
      </w:hyperlink>
      <w:r w:rsidRPr="00935D30">
        <w:rPr>
          <w:rFonts w:cstheme="minorHAnsi"/>
          <w:color w:val="232323"/>
        </w:rPr>
        <w:t>) [</w:t>
      </w:r>
      <w:hyperlink r:id="rId8" w:history="1">
        <w:r w:rsidRPr="00935D30">
          <w:rPr>
            <w:rStyle w:val="Hyperlink"/>
            <w:rFonts w:cstheme="minorHAnsi"/>
            <w:color w:val="00905A"/>
          </w:rPr>
          <w:t>1,2,47</w:t>
        </w:r>
      </w:hyperlink>
      <w:r w:rsidRPr="00935D30">
        <w:rPr>
          <w:rFonts w:cstheme="minorHAnsi"/>
          <w:color w:val="232323"/>
        </w:rPr>
        <w:t>]:</w:t>
      </w:r>
    </w:p>
    <w:p w:rsidR="00403A52" w:rsidRPr="00935D30" w:rsidRDefault="00403A52" w:rsidP="00935D30">
      <w:pPr>
        <w:pStyle w:val="bulletindent1"/>
        <w:shd w:val="clear" w:color="auto" w:fill="FFFFFF"/>
        <w:spacing w:before="0" w:beforeAutospacing="0" w:after="0" w:afterAutospacing="0"/>
        <w:ind w:left="480"/>
        <w:rPr>
          <w:rFonts w:asciiTheme="minorHAnsi" w:hAnsiTheme="minorHAnsi" w:cstheme="minorHAnsi"/>
          <w:color w:val="232323"/>
        </w:rPr>
      </w:pPr>
      <w:r w:rsidRPr="00935D30">
        <w:rPr>
          <w:rStyle w:val="glyph"/>
          <w:rFonts w:asciiTheme="minorHAnsi" w:hAnsiTheme="minorHAnsi" w:cstheme="minorHAnsi"/>
          <w:color w:val="232323"/>
        </w:rPr>
        <w:t>●</w:t>
      </w:r>
      <w:r w:rsidRPr="00935D30">
        <w:rPr>
          <w:rFonts w:asciiTheme="minorHAnsi" w:hAnsiTheme="minorHAnsi" w:cstheme="minorHAnsi"/>
          <w:color w:val="232323"/>
        </w:rPr>
        <w:t>Bilateral bulbar conjunctival injection (</w:t>
      </w:r>
      <w:hyperlink r:id="rId9" w:history="1">
        <w:r w:rsidRPr="00935D30">
          <w:rPr>
            <w:rStyle w:val="Hyperlink"/>
            <w:rFonts w:asciiTheme="minorHAnsi" w:hAnsiTheme="minorHAnsi" w:cstheme="minorHAnsi"/>
            <w:color w:val="00905A"/>
          </w:rPr>
          <w:t>picture 1</w:t>
        </w:r>
      </w:hyperlink>
      <w:r w:rsidRPr="00935D30">
        <w:rPr>
          <w:rFonts w:asciiTheme="minorHAnsi" w:hAnsiTheme="minorHAnsi" w:cstheme="minorHAnsi"/>
          <w:color w:val="232323"/>
        </w:rPr>
        <w:t>)</w:t>
      </w:r>
    </w:p>
    <w:p w:rsidR="00403A52" w:rsidRPr="00935D30" w:rsidRDefault="00403A52" w:rsidP="00935D30">
      <w:pPr>
        <w:pStyle w:val="bulletindent1"/>
        <w:shd w:val="clear" w:color="auto" w:fill="FFFFFF"/>
        <w:spacing w:before="0" w:beforeAutospacing="0" w:after="0" w:afterAutospacing="0"/>
        <w:ind w:left="480"/>
        <w:rPr>
          <w:rFonts w:asciiTheme="minorHAnsi" w:hAnsiTheme="minorHAnsi" w:cstheme="minorHAnsi"/>
          <w:color w:val="232323"/>
        </w:rPr>
      </w:pPr>
      <w:r w:rsidRPr="00935D30">
        <w:rPr>
          <w:rStyle w:val="glyph"/>
          <w:rFonts w:asciiTheme="minorHAnsi" w:hAnsiTheme="minorHAnsi" w:cstheme="minorHAnsi"/>
          <w:color w:val="232323"/>
        </w:rPr>
        <w:t>●</w:t>
      </w:r>
      <w:r w:rsidRPr="00935D30">
        <w:rPr>
          <w:rFonts w:asciiTheme="minorHAnsi" w:hAnsiTheme="minorHAnsi" w:cstheme="minorHAnsi"/>
          <w:color w:val="232323"/>
        </w:rPr>
        <w:t>Oral mucous membrane changes, including injected or fissured lips (</w:t>
      </w:r>
      <w:hyperlink r:id="rId10" w:history="1">
        <w:r w:rsidRPr="00935D30">
          <w:rPr>
            <w:rStyle w:val="Hyperlink"/>
            <w:rFonts w:asciiTheme="minorHAnsi" w:hAnsiTheme="minorHAnsi" w:cstheme="minorHAnsi"/>
            <w:color w:val="00905A"/>
          </w:rPr>
          <w:t>picture 2</w:t>
        </w:r>
      </w:hyperlink>
      <w:r w:rsidRPr="00935D30">
        <w:rPr>
          <w:rFonts w:asciiTheme="minorHAnsi" w:hAnsiTheme="minorHAnsi" w:cstheme="minorHAnsi"/>
          <w:color w:val="232323"/>
        </w:rPr>
        <w:t>), injected pharynx, or strawberry tongue (</w:t>
      </w:r>
      <w:hyperlink r:id="rId11" w:history="1">
        <w:r w:rsidRPr="00935D30">
          <w:rPr>
            <w:rStyle w:val="Hyperlink"/>
            <w:rFonts w:asciiTheme="minorHAnsi" w:hAnsiTheme="minorHAnsi" w:cstheme="minorHAnsi"/>
            <w:color w:val="00905A"/>
          </w:rPr>
          <w:t>picture 3</w:t>
        </w:r>
      </w:hyperlink>
      <w:r w:rsidRPr="00935D30">
        <w:rPr>
          <w:rFonts w:asciiTheme="minorHAnsi" w:hAnsiTheme="minorHAnsi" w:cstheme="minorHAnsi"/>
          <w:color w:val="232323"/>
        </w:rPr>
        <w:t>)</w:t>
      </w:r>
    </w:p>
    <w:p w:rsidR="00403A52" w:rsidRPr="00935D30" w:rsidRDefault="00403A52" w:rsidP="00935D30">
      <w:pPr>
        <w:pStyle w:val="bulletindent1"/>
        <w:shd w:val="clear" w:color="auto" w:fill="FFFFFF"/>
        <w:spacing w:before="0" w:beforeAutospacing="0" w:after="0" w:afterAutospacing="0"/>
        <w:ind w:left="480"/>
        <w:rPr>
          <w:rFonts w:asciiTheme="minorHAnsi" w:hAnsiTheme="minorHAnsi" w:cstheme="minorHAnsi"/>
          <w:color w:val="232323"/>
        </w:rPr>
      </w:pPr>
      <w:r w:rsidRPr="00935D30">
        <w:rPr>
          <w:rStyle w:val="glyph"/>
          <w:rFonts w:asciiTheme="minorHAnsi" w:hAnsiTheme="minorHAnsi" w:cstheme="minorHAnsi"/>
          <w:color w:val="232323"/>
        </w:rPr>
        <w:t>●</w:t>
      </w:r>
      <w:r w:rsidRPr="00935D30">
        <w:rPr>
          <w:rFonts w:asciiTheme="minorHAnsi" w:hAnsiTheme="minorHAnsi" w:cstheme="minorHAnsi"/>
          <w:color w:val="232323"/>
        </w:rPr>
        <w:t>Peripheral extremity changes, including erythema of palms or soles, edema of hands or feet (acute phase) (</w:t>
      </w:r>
      <w:hyperlink r:id="rId12" w:history="1">
        <w:r w:rsidRPr="00935D30">
          <w:rPr>
            <w:rStyle w:val="Hyperlink"/>
            <w:rFonts w:asciiTheme="minorHAnsi" w:hAnsiTheme="minorHAnsi" w:cstheme="minorHAnsi"/>
            <w:color w:val="00905A"/>
          </w:rPr>
          <w:t>picture 4</w:t>
        </w:r>
      </w:hyperlink>
      <w:r w:rsidRPr="00935D30">
        <w:rPr>
          <w:rFonts w:asciiTheme="minorHAnsi" w:hAnsiTheme="minorHAnsi" w:cstheme="minorHAnsi"/>
          <w:color w:val="232323"/>
        </w:rPr>
        <w:t>), or periungual desquamation (convalescent phase) (</w:t>
      </w:r>
      <w:hyperlink r:id="rId13" w:history="1">
        <w:r w:rsidRPr="00935D30">
          <w:rPr>
            <w:rStyle w:val="Hyperlink"/>
            <w:rFonts w:asciiTheme="minorHAnsi" w:hAnsiTheme="minorHAnsi" w:cstheme="minorHAnsi"/>
            <w:color w:val="00905A"/>
          </w:rPr>
          <w:t>picture 5</w:t>
        </w:r>
      </w:hyperlink>
      <w:r w:rsidRPr="00935D30">
        <w:rPr>
          <w:rFonts w:asciiTheme="minorHAnsi" w:hAnsiTheme="minorHAnsi" w:cstheme="minorHAnsi"/>
          <w:color w:val="232323"/>
        </w:rPr>
        <w:t>)</w:t>
      </w:r>
    </w:p>
    <w:p w:rsidR="00403A52" w:rsidRPr="00935D30" w:rsidRDefault="00403A52" w:rsidP="00935D30">
      <w:pPr>
        <w:pStyle w:val="bulletindent1"/>
        <w:shd w:val="clear" w:color="auto" w:fill="FFFFFF"/>
        <w:spacing w:before="0" w:beforeAutospacing="0" w:after="0" w:afterAutospacing="0"/>
        <w:ind w:left="480"/>
        <w:rPr>
          <w:rFonts w:asciiTheme="minorHAnsi" w:hAnsiTheme="minorHAnsi" w:cstheme="minorHAnsi"/>
          <w:color w:val="232323"/>
        </w:rPr>
      </w:pPr>
      <w:r w:rsidRPr="00935D30">
        <w:rPr>
          <w:rStyle w:val="glyph"/>
          <w:rFonts w:asciiTheme="minorHAnsi" w:hAnsiTheme="minorHAnsi" w:cstheme="minorHAnsi"/>
          <w:color w:val="232323"/>
        </w:rPr>
        <w:t>●</w:t>
      </w:r>
      <w:r w:rsidRPr="00935D30">
        <w:rPr>
          <w:rFonts w:asciiTheme="minorHAnsi" w:hAnsiTheme="minorHAnsi" w:cstheme="minorHAnsi"/>
          <w:color w:val="232323"/>
        </w:rPr>
        <w:t>Polymorphous rash</w:t>
      </w:r>
    </w:p>
    <w:p w:rsidR="00403A52" w:rsidRPr="00935D30" w:rsidRDefault="00403A52" w:rsidP="00935D30">
      <w:pPr>
        <w:pStyle w:val="bulletindent1"/>
        <w:shd w:val="clear" w:color="auto" w:fill="FFFFFF"/>
        <w:spacing w:before="0" w:beforeAutospacing="0" w:after="0" w:afterAutospacing="0"/>
        <w:ind w:left="480"/>
        <w:rPr>
          <w:rFonts w:asciiTheme="minorHAnsi" w:hAnsiTheme="minorHAnsi" w:cstheme="minorHAnsi"/>
          <w:color w:val="232323"/>
        </w:rPr>
      </w:pPr>
      <w:r w:rsidRPr="00935D30">
        <w:rPr>
          <w:rStyle w:val="glyph"/>
          <w:rFonts w:asciiTheme="minorHAnsi" w:hAnsiTheme="minorHAnsi" w:cstheme="minorHAnsi"/>
          <w:color w:val="232323"/>
        </w:rPr>
        <w:t>●</w:t>
      </w:r>
      <w:r w:rsidRPr="00935D30">
        <w:rPr>
          <w:rFonts w:asciiTheme="minorHAnsi" w:hAnsiTheme="minorHAnsi" w:cstheme="minorHAnsi"/>
          <w:color w:val="232323"/>
        </w:rPr>
        <w:t>Cervical lymphadenopathy (at least one lymph node &gt;1.5 cm in diameter)</w:t>
      </w:r>
    </w:p>
    <w:p w:rsidR="008E3759" w:rsidRPr="00935D30" w:rsidRDefault="008E3759" w:rsidP="00935D30">
      <w:pPr>
        <w:pStyle w:val="bulletindent1"/>
        <w:shd w:val="clear" w:color="auto" w:fill="FFFFFF"/>
        <w:spacing w:before="0" w:beforeAutospacing="0" w:after="0" w:afterAutospacing="0"/>
        <w:rPr>
          <w:rFonts w:asciiTheme="minorHAnsi" w:hAnsiTheme="minorHAnsi" w:cstheme="minorHAnsi"/>
          <w:color w:val="232323"/>
        </w:rPr>
      </w:pPr>
    </w:p>
    <w:p w:rsidR="008E3759" w:rsidRPr="00935D30" w:rsidRDefault="008E3759" w:rsidP="00935D30">
      <w:pPr>
        <w:rPr>
          <w:rFonts w:eastAsia="Times New Roman" w:cstheme="minorHAnsi"/>
          <w:color w:val="232323"/>
          <w:shd w:val="clear" w:color="auto" w:fill="FFFFFF"/>
        </w:rPr>
      </w:pPr>
      <w:r w:rsidRPr="00935D30">
        <w:rPr>
          <w:rFonts w:cstheme="minorHAnsi"/>
          <w:color w:val="232323"/>
        </w:rPr>
        <w:tab/>
      </w:r>
      <w:r w:rsidRPr="00935D30">
        <w:rPr>
          <w:rFonts w:eastAsia="Times New Roman" w:cstheme="minorHAnsi"/>
          <w:color w:val="232323"/>
          <w:shd w:val="clear" w:color="auto" w:fill="FFFFFF"/>
        </w:rPr>
        <w:t>Rash and conjunctival injection are seen with many illnesses, but other KD features, such as red, cracked lips and redness and swelling of the hands and feet, are unusual in the illnesses in the differential diagnosis and should increase the suspicion for KD.</w:t>
      </w:r>
    </w:p>
    <w:p w:rsidR="008E3759" w:rsidRPr="00935D30" w:rsidRDefault="008E3759" w:rsidP="00935D30">
      <w:pPr>
        <w:rPr>
          <w:rFonts w:eastAsia="Times New Roman" w:cstheme="minorHAnsi"/>
          <w:color w:val="232323"/>
          <w:shd w:val="clear" w:color="auto" w:fill="FFFFFF"/>
        </w:rPr>
      </w:pPr>
    </w:p>
    <w:p w:rsidR="008E3759" w:rsidRPr="00935D30" w:rsidRDefault="008E3759" w:rsidP="00935D30">
      <w:pPr>
        <w:rPr>
          <w:rFonts w:eastAsia="Times New Roman" w:cstheme="minorHAnsi"/>
          <w:b/>
          <w:bCs/>
          <w:color w:val="232323"/>
          <w:shd w:val="clear" w:color="auto" w:fill="FFFFFF"/>
        </w:rPr>
      </w:pPr>
      <w:r w:rsidRPr="00935D30">
        <w:rPr>
          <w:rFonts w:eastAsia="Times New Roman" w:cstheme="minorHAnsi"/>
          <w:b/>
          <w:bCs/>
          <w:color w:val="232323"/>
          <w:shd w:val="clear" w:color="auto" w:fill="FFFFFF"/>
        </w:rPr>
        <w:t>Work-Up:</w:t>
      </w:r>
    </w:p>
    <w:p w:rsidR="008E3759" w:rsidRPr="00935D30" w:rsidRDefault="008E3759" w:rsidP="00935D30">
      <w:pPr>
        <w:rPr>
          <w:rFonts w:eastAsia="Times New Roman" w:cstheme="minorHAnsi"/>
          <w:b/>
          <w:bCs/>
          <w:i/>
          <w:iCs/>
          <w:color w:val="232323"/>
          <w:shd w:val="clear" w:color="auto" w:fill="FFFFFF"/>
        </w:rPr>
      </w:pPr>
      <w:r w:rsidRPr="00935D30">
        <w:rPr>
          <w:rFonts w:eastAsia="Times New Roman" w:cstheme="minorHAnsi"/>
          <w:b/>
          <w:bCs/>
          <w:color w:val="232323"/>
          <w:shd w:val="clear" w:color="auto" w:fill="FFFFFF"/>
        </w:rPr>
        <w:tab/>
      </w:r>
      <w:r w:rsidR="00D6564B" w:rsidRPr="00935D30">
        <w:rPr>
          <w:rFonts w:eastAsia="Times New Roman" w:cstheme="minorHAnsi"/>
          <w:b/>
          <w:bCs/>
          <w:i/>
          <w:iCs/>
          <w:color w:val="232323"/>
          <w:shd w:val="clear" w:color="auto" w:fill="FFFFFF"/>
        </w:rPr>
        <w:t>P</w:t>
      </w:r>
      <w:r w:rsidRPr="00935D30">
        <w:rPr>
          <w:rFonts w:eastAsia="Times New Roman" w:cstheme="minorHAnsi"/>
          <w:b/>
          <w:bCs/>
          <w:i/>
          <w:iCs/>
          <w:color w:val="232323"/>
          <w:shd w:val="clear" w:color="auto" w:fill="FFFFFF"/>
        </w:rPr>
        <w:t>hysical exam:</w:t>
      </w:r>
    </w:p>
    <w:p w:rsidR="008E3759" w:rsidRPr="00935D30" w:rsidRDefault="008E3759" w:rsidP="00935D30">
      <w:pPr>
        <w:pStyle w:val="ListParagraph"/>
        <w:numPr>
          <w:ilvl w:val="0"/>
          <w:numId w:val="3"/>
        </w:numPr>
        <w:rPr>
          <w:rFonts w:eastAsia="Times New Roman" w:cstheme="minorHAnsi"/>
        </w:rPr>
      </w:pPr>
      <w:r w:rsidRPr="00935D30">
        <w:rPr>
          <w:rFonts w:eastAsia="Times New Roman" w:cstheme="minorHAnsi"/>
          <w:b/>
          <w:bCs/>
          <w:i/>
          <w:iCs/>
        </w:rPr>
        <w:t>Fever</w:t>
      </w:r>
      <w:r w:rsidR="00CB4210" w:rsidRPr="00935D30">
        <w:rPr>
          <w:rFonts w:eastAsia="Times New Roman" w:cstheme="minorHAnsi"/>
        </w:rPr>
        <w:t xml:space="preserve"> – typically above 101.3 and doesn’t respond well to antipyretics</w:t>
      </w:r>
    </w:p>
    <w:p w:rsidR="008E3759" w:rsidRPr="00935D30" w:rsidRDefault="008E3759" w:rsidP="00935D30">
      <w:pPr>
        <w:pStyle w:val="ListParagraph"/>
        <w:numPr>
          <w:ilvl w:val="0"/>
          <w:numId w:val="3"/>
        </w:numPr>
        <w:rPr>
          <w:rFonts w:eastAsia="Times New Roman" w:cstheme="minorHAnsi"/>
        </w:rPr>
      </w:pPr>
      <w:r w:rsidRPr="00935D30">
        <w:rPr>
          <w:rFonts w:eastAsia="Times New Roman" w:cstheme="minorHAnsi"/>
          <w:b/>
          <w:bCs/>
          <w:i/>
          <w:iCs/>
        </w:rPr>
        <w:t>Conjunctivitis</w:t>
      </w:r>
      <w:r w:rsidR="00CB4210" w:rsidRPr="00935D30">
        <w:rPr>
          <w:rFonts w:eastAsia="Times New Roman" w:cstheme="minorHAnsi"/>
        </w:rPr>
        <w:t xml:space="preserve"> – </w:t>
      </w:r>
      <w:proofErr w:type="spellStart"/>
      <w:r w:rsidR="00CB4210" w:rsidRPr="00935D30">
        <w:rPr>
          <w:rFonts w:eastAsia="Times New Roman" w:cstheme="minorHAnsi"/>
        </w:rPr>
        <w:t>b/l</w:t>
      </w:r>
      <w:proofErr w:type="spellEnd"/>
      <w:r w:rsidR="00CB4210" w:rsidRPr="00935D30">
        <w:rPr>
          <w:rFonts w:eastAsia="Times New Roman" w:cstheme="minorHAnsi"/>
        </w:rPr>
        <w:t xml:space="preserve"> nonexudative con</w:t>
      </w:r>
      <w:r w:rsidR="002D04EF" w:rsidRPr="00935D30">
        <w:rPr>
          <w:rFonts w:eastAsia="Times New Roman" w:cstheme="minorHAnsi"/>
        </w:rPr>
        <w:t>junctivitis present in 90%, slit-lamp may be helpful</w:t>
      </w:r>
    </w:p>
    <w:p w:rsidR="008E3759" w:rsidRPr="00935D30" w:rsidRDefault="008E3759" w:rsidP="00935D30">
      <w:pPr>
        <w:pStyle w:val="ListParagraph"/>
        <w:numPr>
          <w:ilvl w:val="0"/>
          <w:numId w:val="3"/>
        </w:numPr>
        <w:rPr>
          <w:rFonts w:eastAsia="Times New Roman" w:cstheme="minorHAnsi"/>
        </w:rPr>
      </w:pPr>
      <w:r w:rsidRPr="00935D30">
        <w:rPr>
          <w:rFonts w:eastAsia="Times New Roman" w:cstheme="minorHAnsi"/>
          <w:b/>
          <w:bCs/>
          <w:i/>
          <w:iCs/>
        </w:rPr>
        <w:t>Mucositis</w:t>
      </w:r>
      <w:r w:rsidR="002D04EF" w:rsidRPr="00935D30">
        <w:rPr>
          <w:rFonts w:eastAsia="Times New Roman" w:cstheme="minorHAnsi"/>
          <w:b/>
          <w:bCs/>
          <w:i/>
          <w:iCs/>
        </w:rPr>
        <w:t xml:space="preserve"> </w:t>
      </w:r>
      <w:r w:rsidR="002D04EF" w:rsidRPr="00935D30">
        <w:rPr>
          <w:rFonts w:eastAsia="Times New Roman" w:cstheme="minorHAnsi"/>
        </w:rPr>
        <w:t>– cracked, red lips and “strawberry tongue” are characteristic</w:t>
      </w:r>
    </w:p>
    <w:p w:rsidR="008E3759" w:rsidRPr="00935D30" w:rsidRDefault="008E3759" w:rsidP="00935D30">
      <w:pPr>
        <w:pStyle w:val="ListParagraph"/>
        <w:numPr>
          <w:ilvl w:val="0"/>
          <w:numId w:val="3"/>
        </w:numPr>
        <w:rPr>
          <w:rFonts w:eastAsia="Times New Roman" w:cstheme="minorHAnsi"/>
        </w:rPr>
      </w:pPr>
      <w:r w:rsidRPr="00935D30">
        <w:rPr>
          <w:rFonts w:eastAsia="Times New Roman" w:cstheme="minorHAnsi"/>
          <w:b/>
          <w:bCs/>
          <w:i/>
          <w:iCs/>
        </w:rPr>
        <w:t>Rash</w:t>
      </w:r>
      <w:r w:rsidR="002D04EF" w:rsidRPr="00935D30">
        <w:rPr>
          <w:rFonts w:eastAsia="Times New Roman" w:cstheme="minorHAnsi"/>
        </w:rPr>
        <w:t xml:space="preserve"> – polymorphous rash usually begins during first few days of illness; typically perineal erythema and desquamation first, followed by macular, </w:t>
      </w:r>
      <w:proofErr w:type="spellStart"/>
      <w:r w:rsidR="002D04EF" w:rsidRPr="00935D30">
        <w:rPr>
          <w:rFonts w:eastAsia="Times New Roman" w:cstheme="minorHAnsi"/>
        </w:rPr>
        <w:t>morbiform</w:t>
      </w:r>
      <w:proofErr w:type="spellEnd"/>
      <w:r w:rsidR="002D04EF" w:rsidRPr="00935D30">
        <w:rPr>
          <w:rFonts w:eastAsia="Times New Roman" w:cstheme="minorHAnsi"/>
        </w:rPr>
        <w:t>, or targetoid skin lesions</w:t>
      </w:r>
    </w:p>
    <w:p w:rsidR="008E3759" w:rsidRPr="00935D30" w:rsidRDefault="008E3759" w:rsidP="00935D30">
      <w:pPr>
        <w:pStyle w:val="ListParagraph"/>
        <w:numPr>
          <w:ilvl w:val="0"/>
          <w:numId w:val="3"/>
        </w:numPr>
        <w:rPr>
          <w:rFonts w:eastAsia="Times New Roman" w:cstheme="minorHAnsi"/>
        </w:rPr>
      </w:pPr>
      <w:r w:rsidRPr="00935D30">
        <w:rPr>
          <w:rFonts w:eastAsia="Times New Roman" w:cstheme="minorHAnsi"/>
          <w:b/>
          <w:bCs/>
          <w:i/>
          <w:iCs/>
        </w:rPr>
        <w:t>Extremity Changes</w:t>
      </w:r>
      <w:r w:rsidR="002D04EF" w:rsidRPr="00935D30">
        <w:rPr>
          <w:rFonts w:eastAsia="Times New Roman" w:cstheme="minorHAnsi"/>
        </w:rPr>
        <w:t xml:space="preserve"> – generally last to appear; indurated edema of dorsum of hands and feet and diffuse erythema of palms and soles</w:t>
      </w:r>
    </w:p>
    <w:p w:rsidR="008E3759" w:rsidRPr="00935D30" w:rsidRDefault="008E3759" w:rsidP="00935D30">
      <w:pPr>
        <w:pStyle w:val="ListParagraph"/>
        <w:numPr>
          <w:ilvl w:val="0"/>
          <w:numId w:val="3"/>
        </w:numPr>
        <w:rPr>
          <w:rFonts w:eastAsia="Times New Roman" w:cstheme="minorHAnsi"/>
        </w:rPr>
      </w:pPr>
      <w:r w:rsidRPr="00935D30">
        <w:rPr>
          <w:rFonts w:eastAsia="Times New Roman" w:cstheme="minorHAnsi"/>
          <w:b/>
          <w:bCs/>
          <w:i/>
          <w:iCs/>
        </w:rPr>
        <w:lastRenderedPageBreak/>
        <w:t>Lymphadenopathy</w:t>
      </w:r>
      <w:r w:rsidR="00A1594A" w:rsidRPr="00935D30">
        <w:rPr>
          <w:rFonts w:eastAsia="Times New Roman" w:cstheme="minorHAnsi"/>
        </w:rPr>
        <w:t xml:space="preserve"> – cervical lymphadenopathy is the least consistent feature of KD, most commonly anterior cervical nodes</w:t>
      </w:r>
    </w:p>
    <w:p w:rsidR="008E3759" w:rsidRPr="00935D30" w:rsidRDefault="008E3759" w:rsidP="00935D30">
      <w:pPr>
        <w:pStyle w:val="ListParagraph"/>
        <w:numPr>
          <w:ilvl w:val="0"/>
          <w:numId w:val="3"/>
        </w:numPr>
        <w:rPr>
          <w:rFonts w:eastAsia="Times New Roman" w:cstheme="minorHAnsi"/>
        </w:rPr>
      </w:pPr>
      <w:r w:rsidRPr="00935D30">
        <w:rPr>
          <w:rFonts w:eastAsia="Times New Roman" w:cstheme="minorHAnsi"/>
        </w:rPr>
        <w:t>Cardiovascular findings</w:t>
      </w:r>
      <w:r w:rsidR="00A1594A" w:rsidRPr="00935D30">
        <w:rPr>
          <w:rFonts w:eastAsia="Times New Roman" w:cstheme="minorHAnsi"/>
        </w:rPr>
        <w:t xml:space="preserve"> – CV findings are not </w:t>
      </w:r>
      <w:proofErr w:type="spellStart"/>
      <w:r w:rsidR="00A1594A" w:rsidRPr="00935D30">
        <w:rPr>
          <w:rFonts w:eastAsia="Times New Roman" w:cstheme="minorHAnsi"/>
        </w:rPr>
        <w:t>dx’c</w:t>
      </w:r>
      <w:proofErr w:type="spellEnd"/>
      <w:r w:rsidR="00A1594A" w:rsidRPr="00935D30">
        <w:rPr>
          <w:rFonts w:eastAsia="Times New Roman" w:cstheme="minorHAnsi"/>
        </w:rPr>
        <w:t xml:space="preserve"> of KD, but they support the dx since most conditions that mimic KD do not </w:t>
      </w:r>
      <w:r w:rsidR="007408B4" w:rsidRPr="00935D30">
        <w:rPr>
          <w:rFonts w:eastAsia="Times New Roman" w:cstheme="minorHAnsi"/>
        </w:rPr>
        <w:t>involve the heart.</w:t>
      </w:r>
    </w:p>
    <w:p w:rsidR="008E3759" w:rsidRPr="00935D30" w:rsidRDefault="008E3759" w:rsidP="00935D30">
      <w:pPr>
        <w:pStyle w:val="ListParagraph"/>
        <w:numPr>
          <w:ilvl w:val="0"/>
          <w:numId w:val="3"/>
        </w:numPr>
        <w:rPr>
          <w:rFonts w:eastAsia="Times New Roman" w:cstheme="minorHAnsi"/>
        </w:rPr>
      </w:pPr>
      <w:r w:rsidRPr="00935D30">
        <w:rPr>
          <w:rFonts w:eastAsia="Times New Roman" w:cstheme="minorHAnsi"/>
        </w:rPr>
        <w:t>Arthritis</w:t>
      </w:r>
      <w:r w:rsidR="007408B4" w:rsidRPr="00935D30">
        <w:rPr>
          <w:rFonts w:eastAsia="Times New Roman" w:cstheme="minorHAnsi"/>
        </w:rPr>
        <w:t xml:space="preserve"> – not included in the criteria but reported in 7.5-25% of cases</w:t>
      </w:r>
    </w:p>
    <w:p w:rsidR="008E3759" w:rsidRPr="00935D30" w:rsidRDefault="008E3759" w:rsidP="00935D30">
      <w:pPr>
        <w:pStyle w:val="ListParagraph"/>
        <w:numPr>
          <w:ilvl w:val="0"/>
          <w:numId w:val="3"/>
        </w:numPr>
        <w:rPr>
          <w:rFonts w:eastAsia="Times New Roman" w:cstheme="minorHAnsi"/>
        </w:rPr>
      </w:pPr>
      <w:r w:rsidRPr="00935D30">
        <w:rPr>
          <w:rFonts w:eastAsia="Times New Roman" w:cstheme="minorHAnsi"/>
        </w:rPr>
        <w:t>Other findings include</w:t>
      </w:r>
      <w:r w:rsidR="007408B4" w:rsidRPr="00935D30">
        <w:rPr>
          <w:rFonts w:eastAsia="Times New Roman" w:cstheme="minorHAnsi"/>
        </w:rPr>
        <w:t xml:space="preserve"> N/V/D, irritability, cough, rhinorrhea, decreased oral intake, and joint pain</w:t>
      </w:r>
    </w:p>
    <w:p w:rsidR="007408B4" w:rsidRPr="00935D30" w:rsidRDefault="007408B4" w:rsidP="00935D30">
      <w:pPr>
        <w:pStyle w:val="ListParagraph"/>
        <w:numPr>
          <w:ilvl w:val="0"/>
          <w:numId w:val="3"/>
        </w:numPr>
        <w:rPr>
          <w:rFonts w:eastAsia="Times New Roman" w:cstheme="minorHAnsi"/>
        </w:rPr>
      </w:pPr>
      <w:r w:rsidRPr="00935D30">
        <w:rPr>
          <w:rFonts w:eastAsia="Times New Roman" w:cstheme="minorHAnsi"/>
        </w:rPr>
        <w:t>Infants at increased risk of CA aneurysms, possibly due to delay in treatment due to lack of complete dx criteria</w:t>
      </w:r>
    </w:p>
    <w:p w:rsidR="007408B4" w:rsidRPr="00935D30" w:rsidRDefault="007408B4" w:rsidP="00935D30">
      <w:pPr>
        <w:pStyle w:val="ListParagraph"/>
        <w:numPr>
          <w:ilvl w:val="0"/>
          <w:numId w:val="3"/>
        </w:numPr>
        <w:rPr>
          <w:rFonts w:eastAsia="Times New Roman" w:cstheme="minorHAnsi"/>
        </w:rPr>
      </w:pPr>
      <w:r w:rsidRPr="00935D30">
        <w:rPr>
          <w:rFonts w:eastAsia="Times New Roman" w:cstheme="minorHAnsi"/>
        </w:rPr>
        <w:t>In adults, approx. ¼ adult KD cases occur in HIV pts. Cervical lymphadenopathy, hepatitis, and arthralgia more common in adults and meningitis, thrombocytosis, and CA aneurysms less common.</w:t>
      </w:r>
    </w:p>
    <w:p w:rsidR="002D04EF" w:rsidRPr="00935D30" w:rsidRDefault="002D04EF" w:rsidP="00935D30">
      <w:pPr>
        <w:pStyle w:val="bulletindent1"/>
        <w:shd w:val="clear" w:color="auto" w:fill="FFFFFF"/>
        <w:spacing w:before="0" w:beforeAutospacing="0" w:after="0" w:afterAutospacing="0"/>
        <w:ind w:left="720"/>
        <w:rPr>
          <w:rFonts w:asciiTheme="minorHAnsi" w:hAnsiTheme="minorHAnsi" w:cstheme="minorHAnsi"/>
          <w:color w:val="232323"/>
        </w:rPr>
      </w:pPr>
    </w:p>
    <w:p w:rsidR="008E3759" w:rsidRPr="00935D30" w:rsidRDefault="002D04EF" w:rsidP="00935D30">
      <w:pPr>
        <w:pStyle w:val="bulletindent1"/>
        <w:shd w:val="clear" w:color="auto" w:fill="FFFFFF"/>
        <w:spacing w:before="0" w:beforeAutospacing="0" w:after="0" w:afterAutospacing="0"/>
        <w:ind w:firstLine="360"/>
        <w:rPr>
          <w:rFonts w:asciiTheme="minorHAnsi" w:hAnsiTheme="minorHAnsi" w:cstheme="minorHAnsi"/>
          <w:color w:val="232323"/>
        </w:rPr>
      </w:pPr>
      <w:r w:rsidRPr="00935D30">
        <w:rPr>
          <w:rFonts w:asciiTheme="minorHAnsi" w:hAnsiTheme="minorHAnsi" w:cstheme="minorHAnsi"/>
          <w:b/>
          <w:bCs/>
          <w:i/>
          <w:iCs/>
          <w:color w:val="232323"/>
        </w:rPr>
        <w:t>Labs:</w:t>
      </w:r>
      <w:r w:rsidRPr="00935D30">
        <w:rPr>
          <w:rFonts w:asciiTheme="minorHAnsi" w:hAnsiTheme="minorHAnsi" w:cstheme="minorHAnsi"/>
          <w:color w:val="232323"/>
        </w:rPr>
        <w:t xml:space="preserve"> </w:t>
      </w:r>
      <w:r w:rsidR="008E3759" w:rsidRPr="00935D30">
        <w:rPr>
          <w:rFonts w:asciiTheme="minorHAnsi" w:hAnsiTheme="minorHAnsi" w:cstheme="minorHAnsi"/>
          <w:color w:val="232323"/>
        </w:rPr>
        <w:t>No</w:t>
      </w:r>
      <w:r w:rsidRPr="00935D30">
        <w:rPr>
          <w:rFonts w:asciiTheme="minorHAnsi" w:hAnsiTheme="minorHAnsi" w:cstheme="minorHAnsi"/>
          <w:color w:val="232323"/>
        </w:rPr>
        <w:t>t</w:t>
      </w:r>
      <w:r w:rsidR="008E3759" w:rsidRPr="00935D30">
        <w:rPr>
          <w:rFonts w:asciiTheme="minorHAnsi" w:hAnsiTheme="minorHAnsi" w:cstheme="minorHAnsi"/>
          <w:color w:val="232323"/>
        </w:rPr>
        <w:t xml:space="preserve"> included in the diagnostic criteria for typical KD. However, certain findings may support diagnosis, particularly for incomplete KD cases.</w:t>
      </w:r>
    </w:p>
    <w:p w:rsidR="008E3759" w:rsidRPr="00935D30" w:rsidRDefault="008E3759" w:rsidP="00935D30">
      <w:pPr>
        <w:pStyle w:val="bulletindent1"/>
        <w:numPr>
          <w:ilvl w:val="0"/>
          <w:numId w:val="2"/>
        </w:numPr>
        <w:shd w:val="clear" w:color="auto" w:fill="FFFFFF"/>
        <w:spacing w:before="0" w:beforeAutospacing="0" w:after="0" w:afterAutospacing="0"/>
        <w:rPr>
          <w:rFonts w:asciiTheme="minorHAnsi" w:hAnsiTheme="minorHAnsi" w:cstheme="minorHAnsi"/>
          <w:color w:val="232323"/>
        </w:rPr>
      </w:pPr>
      <w:r w:rsidRPr="00935D30">
        <w:rPr>
          <w:rFonts w:asciiTheme="minorHAnsi" w:hAnsiTheme="minorHAnsi" w:cstheme="minorHAnsi"/>
          <w:color w:val="232323"/>
        </w:rPr>
        <w:t xml:space="preserve">Elevated </w:t>
      </w:r>
      <w:r w:rsidR="00935D30" w:rsidRPr="00935D30">
        <w:rPr>
          <w:rFonts w:asciiTheme="minorHAnsi" w:hAnsiTheme="minorHAnsi" w:cstheme="minorHAnsi"/>
          <w:color w:val="232323"/>
        </w:rPr>
        <w:t xml:space="preserve">ESR &amp; </w:t>
      </w:r>
      <w:r w:rsidRPr="00935D30">
        <w:rPr>
          <w:rFonts w:asciiTheme="minorHAnsi" w:hAnsiTheme="minorHAnsi" w:cstheme="minorHAnsi"/>
          <w:color w:val="232323"/>
        </w:rPr>
        <w:t>CRP</w:t>
      </w:r>
    </w:p>
    <w:p w:rsidR="008E3759" w:rsidRPr="00935D30" w:rsidRDefault="008E3759" w:rsidP="00935D30">
      <w:pPr>
        <w:pStyle w:val="bulletindent1"/>
        <w:numPr>
          <w:ilvl w:val="0"/>
          <w:numId w:val="2"/>
        </w:numPr>
        <w:shd w:val="clear" w:color="auto" w:fill="FFFFFF"/>
        <w:spacing w:before="0" w:beforeAutospacing="0" w:after="0" w:afterAutospacing="0"/>
        <w:rPr>
          <w:rFonts w:asciiTheme="minorHAnsi" w:hAnsiTheme="minorHAnsi" w:cstheme="minorHAnsi"/>
          <w:color w:val="232323"/>
        </w:rPr>
      </w:pPr>
      <w:r w:rsidRPr="00935D30">
        <w:rPr>
          <w:rFonts w:asciiTheme="minorHAnsi" w:hAnsiTheme="minorHAnsi" w:cstheme="minorHAnsi"/>
          <w:color w:val="232323"/>
        </w:rPr>
        <w:t>Increased ferritin in acute phase</w:t>
      </w:r>
    </w:p>
    <w:p w:rsidR="008E3759" w:rsidRPr="00935D30" w:rsidRDefault="008E3759" w:rsidP="00935D30">
      <w:pPr>
        <w:pStyle w:val="bulletindent1"/>
        <w:numPr>
          <w:ilvl w:val="0"/>
          <w:numId w:val="2"/>
        </w:numPr>
        <w:shd w:val="clear" w:color="auto" w:fill="FFFFFF"/>
        <w:spacing w:before="0" w:beforeAutospacing="0" w:after="0" w:afterAutospacing="0"/>
        <w:rPr>
          <w:rFonts w:asciiTheme="minorHAnsi" w:hAnsiTheme="minorHAnsi" w:cstheme="minorHAnsi"/>
          <w:color w:val="232323"/>
        </w:rPr>
      </w:pPr>
      <w:r w:rsidRPr="00935D30">
        <w:rPr>
          <w:rFonts w:asciiTheme="minorHAnsi" w:hAnsiTheme="minorHAnsi" w:cstheme="minorHAnsi"/>
          <w:color w:val="232323"/>
        </w:rPr>
        <w:t>Lymphocytes drop during acute phase then rise dramatically during convalescence</w:t>
      </w:r>
    </w:p>
    <w:p w:rsidR="008E3759" w:rsidRPr="00935D30" w:rsidRDefault="008E3759" w:rsidP="00935D30">
      <w:pPr>
        <w:pStyle w:val="bulletindent1"/>
        <w:numPr>
          <w:ilvl w:val="0"/>
          <w:numId w:val="2"/>
        </w:numPr>
        <w:shd w:val="clear" w:color="auto" w:fill="FFFFFF"/>
        <w:spacing w:before="0" w:beforeAutospacing="0" w:after="0" w:afterAutospacing="0"/>
        <w:rPr>
          <w:rFonts w:asciiTheme="minorHAnsi" w:hAnsiTheme="minorHAnsi" w:cstheme="minorHAnsi"/>
          <w:color w:val="232323"/>
        </w:rPr>
      </w:pPr>
      <w:r w:rsidRPr="00935D30">
        <w:rPr>
          <w:rFonts w:asciiTheme="minorHAnsi" w:hAnsiTheme="minorHAnsi" w:cstheme="minorHAnsi"/>
          <w:color w:val="232323"/>
        </w:rPr>
        <w:t>Platelets rise by second week</w:t>
      </w:r>
    </w:p>
    <w:p w:rsidR="00CB4210" w:rsidRPr="00935D30" w:rsidRDefault="00CB4210" w:rsidP="00935D30">
      <w:pPr>
        <w:pStyle w:val="bulletindent1"/>
        <w:numPr>
          <w:ilvl w:val="0"/>
          <w:numId w:val="2"/>
        </w:numPr>
        <w:shd w:val="clear" w:color="auto" w:fill="FFFFFF"/>
        <w:spacing w:before="0" w:beforeAutospacing="0" w:after="0" w:afterAutospacing="0"/>
        <w:rPr>
          <w:rFonts w:asciiTheme="minorHAnsi" w:hAnsiTheme="minorHAnsi" w:cstheme="minorHAnsi"/>
          <w:color w:val="232323"/>
        </w:rPr>
      </w:pPr>
      <w:r w:rsidRPr="00935D30">
        <w:rPr>
          <w:rFonts w:asciiTheme="minorHAnsi" w:hAnsiTheme="minorHAnsi" w:cstheme="minorHAnsi"/>
          <w:color w:val="232323"/>
        </w:rPr>
        <w:t>Normocytic, normochromic anemia in peds</w:t>
      </w:r>
    </w:p>
    <w:p w:rsidR="00CB4210" w:rsidRPr="00935D30" w:rsidRDefault="00CB4210" w:rsidP="00935D30">
      <w:pPr>
        <w:pStyle w:val="bulletindent1"/>
        <w:numPr>
          <w:ilvl w:val="0"/>
          <w:numId w:val="2"/>
        </w:numPr>
        <w:shd w:val="clear" w:color="auto" w:fill="FFFFFF"/>
        <w:spacing w:before="0" w:beforeAutospacing="0" w:after="0" w:afterAutospacing="0"/>
        <w:rPr>
          <w:rFonts w:asciiTheme="minorHAnsi" w:hAnsiTheme="minorHAnsi" w:cstheme="minorHAnsi"/>
          <w:color w:val="232323"/>
        </w:rPr>
      </w:pPr>
      <w:r w:rsidRPr="00935D30">
        <w:rPr>
          <w:rFonts w:asciiTheme="minorHAnsi" w:hAnsiTheme="minorHAnsi" w:cstheme="minorHAnsi"/>
          <w:color w:val="232323"/>
        </w:rPr>
        <w:t>Urinary WBC’s</w:t>
      </w:r>
    </w:p>
    <w:p w:rsidR="008E3759" w:rsidRPr="00935D30" w:rsidRDefault="008E3759" w:rsidP="00935D30">
      <w:pPr>
        <w:pStyle w:val="bulletindent1"/>
        <w:numPr>
          <w:ilvl w:val="0"/>
          <w:numId w:val="2"/>
        </w:numPr>
        <w:shd w:val="clear" w:color="auto" w:fill="FFFFFF"/>
        <w:spacing w:before="0" w:beforeAutospacing="0" w:after="0" w:afterAutospacing="0"/>
        <w:rPr>
          <w:rFonts w:asciiTheme="minorHAnsi" w:hAnsiTheme="minorHAnsi" w:cstheme="minorHAnsi"/>
          <w:color w:val="232323"/>
        </w:rPr>
      </w:pPr>
      <w:r w:rsidRPr="00935D30">
        <w:rPr>
          <w:rFonts w:asciiTheme="minorHAnsi" w:hAnsiTheme="minorHAnsi" w:cstheme="minorHAnsi"/>
          <w:color w:val="232323"/>
        </w:rPr>
        <w:t xml:space="preserve">Thrombocytopenia, high TGC, low Na, elevated </w:t>
      </w:r>
      <w:r w:rsidR="00CB4210" w:rsidRPr="00935D30">
        <w:rPr>
          <w:rFonts w:asciiTheme="minorHAnsi" w:hAnsiTheme="minorHAnsi" w:cstheme="minorHAnsi"/>
          <w:color w:val="232323"/>
        </w:rPr>
        <w:t>LFT’s, and monocytes/macrophages in CSF can be signs of subclinical MAS and may warrant further testing</w:t>
      </w:r>
    </w:p>
    <w:p w:rsidR="00D6564B" w:rsidRPr="00935D30" w:rsidRDefault="00D6564B" w:rsidP="00935D30">
      <w:pPr>
        <w:pStyle w:val="bulletindent1"/>
        <w:shd w:val="clear" w:color="auto" w:fill="FFFFFF"/>
        <w:spacing w:before="0" w:beforeAutospacing="0" w:after="0" w:afterAutospacing="0"/>
        <w:rPr>
          <w:rFonts w:asciiTheme="minorHAnsi" w:hAnsiTheme="minorHAnsi" w:cstheme="minorHAnsi"/>
          <w:color w:val="232323"/>
        </w:rPr>
      </w:pPr>
    </w:p>
    <w:p w:rsidR="008E3759" w:rsidRPr="00935D30" w:rsidRDefault="00D6564B" w:rsidP="00935D30">
      <w:pPr>
        <w:pStyle w:val="bulletindent1"/>
        <w:shd w:val="clear" w:color="auto" w:fill="FFFFFF"/>
        <w:spacing w:before="0" w:beforeAutospacing="0" w:after="0" w:afterAutospacing="0"/>
        <w:rPr>
          <w:rFonts w:asciiTheme="minorHAnsi" w:hAnsiTheme="minorHAnsi" w:cstheme="minorHAnsi"/>
          <w:b/>
          <w:bCs/>
          <w:color w:val="232323"/>
        </w:rPr>
      </w:pPr>
      <w:r w:rsidRPr="00935D30">
        <w:rPr>
          <w:rFonts w:asciiTheme="minorHAnsi" w:hAnsiTheme="minorHAnsi" w:cstheme="minorHAnsi"/>
          <w:b/>
          <w:bCs/>
          <w:color w:val="232323"/>
        </w:rPr>
        <w:t>Treatment:</w:t>
      </w:r>
    </w:p>
    <w:p w:rsidR="00D6564B" w:rsidRPr="00935D30" w:rsidRDefault="00D6564B" w:rsidP="00935D30">
      <w:pPr>
        <w:pStyle w:val="bulletindent1"/>
        <w:shd w:val="clear" w:color="auto" w:fill="FFFFFF"/>
        <w:spacing w:before="0" w:beforeAutospacing="0" w:after="0" w:afterAutospacing="0"/>
        <w:rPr>
          <w:rFonts w:asciiTheme="minorHAnsi" w:hAnsiTheme="minorHAnsi" w:cstheme="minorHAnsi"/>
          <w:b/>
          <w:bCs/>
          <w:i/>
          <w:iCs/>
          <w:color w:val="232323"/>
        </w:rPr>
      </w:pPr>
      <w:r w:rsidRPr="00935D30">
        <w:rPr>
          <w:rFonts w:asciiTheme="minorHAnsi" w:hAnsiTheme="minorHAnsi" w:cstheme="minorHAnsi"/>
          <w:b/>
          <w:bCs/>
          <w:color w:val="232323"/>
        </w:rPr>
        <w:tab/>
      </w:r>
      <w:r w:rsidRPr="00935D30">
        <w:rPr>
          <w:rFonts w:asciiTheme="minorHAnsi" w:hAnsiTheme="minorHAnsi" w:cstheme="minorHAnsi"/>
          <w:b/>
          <w:bCs/>
          <w:i/>
          <w:iCs/>
          <w:color w:val="232323"/>
        </w:rPr>
        <w:t xml:space="preserve">Recommended therapies include: </w:t>
      </w:r>
    </w:p>
    <w:p w:rsidR="00D6564B" w:rsidRPr="00935D30" w:rsidRDefault="00D6564B" w:rsidP="00935D30">
      <w:pPr>
        <w:pStyle w:val="bulletindent1"/>
        <w:numPr>
          <w:ilvl w:val="0"/>
          <w:numId w:val="5"/>
        </w:numPr>
        <w:shd w:val="clear" w:color="auto" w:fill="FFFFFF"/>
        <w:spacing w:before="0" w:beforeAutospacing="0" w:after="0" w:afterAutospacing="0"/>
        <w:rPr>
          <w:rFonts w:asciiTheme="minorHAnsi" w:hAnsiTheme="minorHAnsi" w:cstheme="minorHAnsi"/>
          <w:color w:val="232323"/>
        </w:rPr>
      </w:pPr>
      <w:r w:rsidRPr="00935D30">
        <w:rPr>
          <w:rFonts w:asciiTheme="minorHAnsi" w:hAnsiTheme="minorHAnsi" w:cstheme="minorHAnsi"/>
          <w:color w:val="232323"/>
        </w:rPr>
        <w:t xml:space="preserve">IVIG 2g/kg single-infusion over 8-12 </w:t>
      </w:r>
      <w:proofErr w:type="spellStart"/>
      <w:r w:rsidRPr="00935D30">
        <w:rPr>
          <w:rFonts w:asciiTheme="minorHAnsi" w:hAnsiTheme="minorHAnsi" w:cstheme="minorHAnsi"/>
          <w:color w:val="232323"/>
        </w:rPr>
        <w:t>hrs</w:t>
      </w:r>
      <w:proofErr w:type="spellEnd"/>
    </w:p>
    <w:p w:rsidR="00D6564B" w:rsidRPr="00935D30" w:rsidRDefault="00D6564B" w:rsidP="00935D30">
      <w:pPr>
        <w:pStyle w:val="bulletindent1"/>
        <w:numPr>
          <w:ilvl w:val="0"/>
          <w:numId w:val="5"/>
        </w:numPr>
        <w:shd w:val="clear" w:color="auto" w:fill="FFFFFF"/>
        <w:spacing w:before="0" w:beforeAutospacing="0" w:after="0" w:afterAutospacing="0"/>
        <w:rPr>
          <w:rFonts w:asciiTheme="minorHAnsi" w:hAnsiTheme="minorHAnsi" w:cstheme="minorHAnsi"/>
          <w:color w:val="232323"/>
        </w:rPr>
      </w:pPr>
      <w:r w:rsidRPr="00935D30">
        <w:rPr>
          <w:rFonts w:asciiTheme="minorHAnsi" w:hAnsiTheme="minorHAnsi" w:cstheme="minorHAnsi"/>
          <w:color w:val="232323"/>
        </w:rPr>
        <w:t>ASA 30-50 mg/kg PO daily divided into 4 doses</w:t>
      </w:r>
    </w:p>
    <w:p w:rsidR="00324267" w:rsidRPr="00935D30" w:rsidRDefault="00324267" w:rsidP="00935D30">
      <w:pPr>
        <w:pStyle w:val="bulletindent1"/>
        <w:numPr>
          <w:ilvl w:val="0"/>
          <w:numId w:val="5"/>
        </w:numPr>
        <w:shd w:val="clear" w:color="auto" w:fill="FFFFFF"/>
        <w:spacing w:before="0" w:beforeAutospacing="0" w:after="0" w:afterAutospacing="0"/>
        <w:rPr>
          <w:rFonts w:asciiTheme="minorHAnsi" w:hAnsiTheme="minorHAnsi" w:cstheme="minorHAnsi"/>
          <w:color w:val="232323"/>
        </w:rPr>
      </w:pPr>
      <w:r w:rsidRPr="00935D30">
        <w:rPr>
          <w:rFonts w:asciiTheme="minorHAnsi" w:hAnsiTheme="minorHAnsi" w:cstheme="minorHAnsi"/>
          <w:color w:val="232323"/>
        </w:rPr>
        <w:t xml:space="preserve">IVIG resistance must be determined before </w:t>
      </w:r>
      <w:proofErr w:type="spellStart"/>
      <w:r w:rsidRPr="00935D30">
        <w:rPr>
          <w:rFonts w:asciiTheme="minorHAnsi" w:hAnsiTheme="minorHAnsi" w:cstheme="minorHAnsi"/>
          <w:color w:val="232323"/>
        </w:rPr>
        <w:t>tx</w:t>
      </w:r>
      <w:proofErr w:type="spellEnd"/>
      <w:r w:rsidRPr="00935D30">
        <w:rPr>
          <w:rFonts w:asciiTheme="minorHAnsi" w:hAnsiTheme="minorHAnsi" w:cstheme="minorHAnsi"/>
          <w:color w:val="232323"/>
        </w:rPr>
        <w:t>; pts at high-risk for IVIG resistance are additionally treated with systemic glucocorticoids</w:t>
      </w:r>
    </w:p>
    <w:p w:rsidR="00324267" w:rsidRPr="00935D30" w:rsidRDefault="00324267" w:rsidP="00935D30">
      <w:pPr>
        <w:pStyle w:val="bulletindent1"/>
        <w:numPr>
          <w:ilvl w:val="1"/>
          <w:numId w:val="5"/>
        </w:numPr>
        <w:shd w:val="clear" w:color="auto" w:fill="FFFFFF"/>
        <w:spacing w:before="0" w:beforeAutospacing="0" w:after="0" w:afterAutospacing="0"/>
        <w:rPr>
          <w:rFonts w:asciiTheme="minorHAnsi" w:hAnsiTheme="minorHAnsi" w:cstheme="minorHAnsi"/>
          <w:color w:val="232323"/>
        </w:rPr>
      </w:pPr>
      <w:r w:rsidRPr="00935D30">
        <w:rPr>
          <w:rFonts w:asciiTheme="minorHAnsi" w:hAnsiTheme="minorHAnsi" w:cstheme="minorHAnsi"/>
          <w:color w:val="232323"/>
        </w:rPr>
        <w:t>Prednisone 2 mg/kg/day IV x 5 days, then 2 mg/kg/day PO x 5 days, tapering to 1 mg/kg/day x 5 days, then 0.5 mg/kg/day x 5 days or until afebrile</w:t>
      </w:r>
    </w:p>
    <w:p w:rsidR="00324267" w:rsidRPr="00935D30" w:rsidRDefault="00324267" w:rsidP="00935D30">
      <w:pPr>
        <w:pStyle w:val="bulletindent1"/>
        <w:numPr>
          <w:ilvl w:val="0"/>
          <w:numId w:val="5"/>
        </w:numPr>
        <w:shd w:val="clear" w:color="auto" w:fill="FFFFFF"/>
        <w:spacing w:before="0" w:beforeAutospacing="0" w:after="0" w:afterAutospacing="0"/>
        <w:rPr>
          <w:rFonts w:asciiTheme="minorHAnsi" w:hAnsiTheme="minorHAnsi" w:cstheme="minorHAnsi"/>
          <w:color w:val="232323"/>
        </w:rPr>
      </w:pPr>
      <w:r w:rsidRPr="00935D30">
        <w:rPr>
          <w:rFonts w:asciiTheme="minorHAnsi" w:hAnsiTheme="minorHAnsi" w:cstheme="minorHAnsi"/>
          <w:color w:val="232323"/>
        </w:rPr>
        <w:t xml:space="preserve">Pts typically observed for 24 </w:t>
      </w:r>
      <w:proofErr w:type="spellStart"/>
      <w:r w:rsidRPr="00935D30">
        <w:rPr>
          <w:rFonts w:asciiTheme="minorHAnsi" w:hAnsiTheme="minorHAnsi" w:cstheme="minorHAnsi"/>
          <w:color w:val="232323"/>
        </w:rPr>
        <w:t>hrs</w:t>
      </w:r>
      <w:proofErr w:type="spellEnd"/>
      <w:r w:rsidRPr="00935D30">
        <w:rPr>
          <w:rFonts w:asciiTheme="minorHAnsi" w:hAnsiTheme="minorHAnsi" w:cstheme="minorHAnsi"/>
          <w:color w:val="232323"/>
        </w:rPr>
        <w:t xml:space="preserve"> (min 12) after completion of IVIG </w:t>
      </w:r>
      <w:proofErr w:type="spellStart"/>
      <w:r w:rsidRPr="00935D30">
        <w:rPr>
          <w:rFonts w:asciiTheme="minorHAnsi" w:hAnsiTheme="minorHAnsi" w:cstheme="minorHAnsi"/>
          <w:color w:val="232323"/>
        </w:rPr>
        <w:t>tx</w:t>
      </w:r>
      <w:proofErr w:type="spellEnd"/>
      <w:r w:rsidRPr="00935D30">
        <w:rPr>
          <w:rFonts w:asciiTheme="minorHAnsi" w:hAnsiTheme="minorHAnsi" w:cstheme="minorHAnsi"/>
          <w:color w:val="232323"/>
        </w:rPr>
        <w:t xml:space="preserve"> to confirm resolution of fever</w:t>
      </w:r>
    </w:p>
    <w:p w:rsidR="00324267" w:rsidRPr="00935D30" w:rsidRDefault="00324267" w:rsidP="00935D30">
      <w:pPr>
        <w:pStyle w:val="bulletindent1"/>
        <w:numPr>
          <w:ilvl w:val="0"/>
          <w:numId w:val="5"/>
        </w:numPr>
        <w:shd w:val="clear" w:color="auto" w:fill="FFFFFF"/>
        <w:spacing w:before="0" w:beforeAutospacing="0" w:after="0" w:afterAutospacing="0"/>
        <w:rPr>
          <w:rFonts w:asciiTheme="minorHAnsi" w:hAnsiTheme="minorHAnsi" w:cstheme="minorHAnsi"/>
          <w:color w:val="232323"/>
        </w:rPr>
      </w:pPr>
      <w:r w:rsidRPr="00935D30">
        <w:rPr>
          <w:rFonts w:asciiTheme="minorHAnsi" w:hAnsiTheme="minorHAnsi" w:cstheme="minorHAnsi"/>
          <w:color w:val="232323"/>
        </w:rPr>
        <w:t xml:space="preserve">Timing of discharge may depend on CA (dilated or normal) and risk factors for ultimately failing IVIG </w:t>
      </w:r>
      <w:proofErr w:type="spellStart"/>
      <w:r w:rsidRPr="00935D30">
        <w:rPr>
          <w:rFonts w:asciiTheme="minorHAnsi" w:hAnsiTheme="minorHAnsi" w:cstheme="minorHAnsi"/>
          <w:color w:val="232323"/>
        </w:rPr>
        <w:t>tx</w:t>
      </w:r>
      <w:proofErr w:type="spellEnd"/>
    </w:p>
    <w:p w:rsidR="008E3759" w:rsidRPr="00935D30" w:rsidRDefault="0078055C" w:rsidP="00935D30">
      <w:pPr>
        <w:pStyle w:val="bulletindent1"/>
        <w:shd w:val="clear" w:color="auto" w:fill="FFFFFF"/>
        <w:spacing w:before="0" w:beforeAutospacing="0" w:after="0" w:afterAutospacing="0"/>
        <w:ind w:left="360"/>
        <w:rPr>
          <w:rFonts w:asciiTheme="minorHAnsi" w:hAnsiTheme="minorHAnsi" w:cstheme="minorHAnsi"/>
          <w:b/>
          <w:bCs/>
          <w:i/>
          <w:iCs/>
          <w:color w:val="232323"/>
        </w:rPr>
      </w:pPr>
      <w:r w:rsidRPr="00935D30">
        <w:rPr>
          <w:rFonts w:asciiTheme="minorHAnsi" w:hAnsiTheme="minorHAnsi" w:cstheme="minorHAnsi"/>
          <w:b/>
          <w:bCs/>
          <w:i/>
          <w:iCs/>
          <w:color w:val="232323"/>
        </w:rPr>
        <w:t xml:space="preserve">Other </w:t>
      </w:r>
      <w:proofErr w:type="spellStart"/>
      <w:r w:rsidRPr="00935D30">
        <w:rPr>
          <w:rFonts w:asciiTheme="minorHAnsi" w:hAnsiTheme="minorHAnsi" w:cstheme="minorHAnsi"/>
          <w:b/>
          <w:bCs/>
          <w:i/>
          <w:iCs/>
          <w:color w:val="232323"/>
        </w:rPr>
        <w:t>tx</w:t>
      </w:r>
      <w:proofErr w:type="spellEnd"/>
      <w:r w:rsidRPr="00935D30">
        <w:rPr>
          <w:rFonts w:asciiTheme="minorHAnsi" w:hAnsiTheme="minorHAnsi" w:cstheme="minorHAnsi"/>
          <w:b/>
          <w:bCs/>
          <w:i/>
          <w:iCs/>
          <w:color w:val="232323"/>
        </w:rPr>
        <w:t xml:space="preserve"> for refractory KD:</w:t>
      </w:r>
    </w:p>
    <w:p w:rsidR="00324267" w:rsidRPr="00935D30" w:rsidRDefault="00324267" w:rsidP="00935D30">
      <w:pPr>
        <w:pStyle w:val="bulletindent1"/>
        <w:numPr>
          <w:ilvl w:val="0"/>
          <w:numId w:val="5"/>
        </w:numPr>
        <w:shd w:val="clear" w:color="auto" w:fill="FFFFFF"/>
        <w:spacing w:before="0" w:beforeAutospacing="0" w:after="0" w:afterAutospacing="0"/>
        <w:rPr>
          <w:rFonts w:asciiTheme="minorHAnsi" w:hAnsiTheme="minorHAnsi" w:cstheme="minorHAnsi"/>
          <w:color w:val="232323"/>
        </w:rPr>
      </w:pPr>
      <w:r w:rsidRPr="00935D30">
        <w:rPr>
          <w:rFonts w:asciiTheme="minorHAnsi" w:hAnsiTheme="minorHAnsi" w:cstheme="minorHAnsi"/>
          <w:color w:val="232323"/>
        </w:rPr>
        <w:t>Cyclosporine (a calcineurin inhibitor) has shown some efficacy for refractory KD and those at high risk of IVIG resistance</w:t>
      </w:r>
    </w:p>
    <w:p w:rsidR="00324267" w:rsidRPr="00935D30" w:rsidRDefault="00324267" w:rsidP="00935D30">
      <w:pPr>
        <w:pStyle w:val="bulletindent1"/>
        <w:numPr>
          <w:ilvl w:val="0"/>
          <w:numId w:val="5"/>
        </w:numPr>
        <w:shd w:val="clear" w:color="auto" w:fill="FFFFFF"/>
        <w:spacing w:before="0" w:beforeAutospacing="0" w:after="0" w:afterAutospacing="0"/>
        <w:rPr>
          <w:rFonts w:asciiTheme="minorHAnsi" w:hAnsiTheme="minorHAnsi" w:cstheme="minorHAnsi"/>
          <w:color w:val="232323"/>
        </w:rPr>
      </w:pPr>
      <w:r w:rsidRPr="00935D30">
        <w:rPr>
          <w:rFonts w:asciiTheme="minorHAnsi" w:hAnsiTheme="minorHAnsi" w:cstheme="minorHAnsi"/>
          <w:color w:val="232323"/>
        </w:rPr>
        <w:t>TNF-alpha inhibitors (</w:t>
      </w:r>
      <w:proofErr w:type="spellStart"/>
      <w:r w:rsidRPr="00935D30">
        <w:rPr>
          <w:rFonts w:asciiTheme="minorHAnsi" w:hAnsiTheme="minorHAnsi" w:cstheme="minorHAnsi"/>
          <w:color w:val="232323"/>
        </w:rPr>
        <w:t>eg</w:t>
      </w:r>
      <w:proofErr w:type="spellEnd"/>
      <w:r w:rsidRPr="00935D30">
        <w:rPr>
          <w:rFonts w:asciiTheme="minorHAnsi" w:hAnsiTheme="minorHAnsi" w:cstheme="minorHAnsi"/>
          <w:color w:val="232323"/>
        </w:rPr>
        <w:t xml:space="preserve"> etanercept or infliximab)</w:t>
      </w:r>
      <w:r w:rsidR="0078055C" w:rsidRPr="00935D30">
        <w:rPr>
          <w:rFonts w:asciiTheme="minorHAnsi" w:hAnsiTheme="minorHAnsi" w:cstheme="minorHAnsi"/>
          <w:color w:val="232323"/>
        </w:rPr>
        <w:t xml:space="preserve"> have been studied as both adjuvant therapy for KD and as monotherapy for refractory KD</w:t>
      </w:r>
    </w:p>
    <w:p w:rsidR="008E3759" w:rsidRPr="00935D30" w:rsidRDefault="008E3759" w:rsidP="00935D30">
      <w:pPr>
        <w:pStyle w:val="bulletindent1"/>
        <w:shd w:val="clear" w:color="auto" w:fill="FFFFFF"/>
        <w:spacing w:before="0" w:beforeAutospacing="0" w:after="0" w:afterAutospacing="0"/>
        <w:rPr>
          <w:rFonts w:asciiTheme="minorHAnsi" w:hAnsiTheme="minorHAnsi" w:cstheme="minorHAnsi"/>
          <w:color w:val="232323"/>
        </w:rPr>
      </w:pPr>
      <w:r w:rsidRPr="00935D30">
        <w:rPr>
          <w:rFonts w:asciiTheme="minorHAnsi" w:hAnsiTheme="minorHAnsi" w:cstheme="minorHAnsi"/>
          <w:color w:val="232323"/>
        </w:rPr>
        <w:t>Sources:</w:t>
      </w:r>
    </w:p>
    <w:p w:rsidR="008E3759" w:rsidRPr="00935D30" w:rsidRDefault="001B0611" w:rsidP="00935D30">
      <w:pPr>
        <w:pStyle w:val="ListParagraph"/>
        <w:numPr>
          <w:ilvl w:val="0"/>
          <w:numId w:val="1"/>
        </w:numPr>
        <w:rPr>
          <w:rFonts w:eastAsia="Times New Roman" w:cstheme="minorHAnsi"/>
        </w:rPr>
      </w:pPr>
      <w:hyperlink r:id="rId14" w:anchor="H26262883" w:history="1">
        <w:r w:rsidR="008E3759" w:rsidRPr="00935D30">
          <w:rPr>
            <w:rFonts w:eastAsia="Times New Roman" w:cstheme="minorHAnsi"/>
            <w:color w:val="0000FF"/>
            <w:u w:val="single"/>
          </w:rPr>
          <w:t>https://www-uptodate-com.york.ezproxy.cuny.edu/contents/kawasaki-disease-clinical-features-and-diagnosis?search=kawasaki%20disease%20in%20pediatrics&amp;source=search_result&amp;selectedTitle=1~150&amp;usage_type=default&amp;display_rank=1#H26262883</w:t>
        </w:r>
      </w:hyperlink>
    </w:p>
    <w:p w:rsidR="008E3759" w:rsidRPr="00935D30" w:rsidRDefault="001B0611" w:rsidP="00935D30">
      <w:pPr>
        <w:pStyle w:val="ListParagraph"/>
        <w:numPr>
          <w:ilvl w:val="0"/>
          <w:numId w:val="1"/>
        </w:numPr>
        <w:rPr>
          <w:rFonts w:eastAsia="Times New Roman" w:cstheme="minorHAnsi"/>
        </w:rPr>
      </w:pPr>
      <w:hyperlink r:id="rId15" w:history="1">
        <w:r w:rsidR="008E3759" w:rsidRPr="00935D30">
          <w:rPr>
            <w:rFonts w:eastAsia="Times New Roman" w:cstheme="minorHAnsi"/>
            <w:color w:val="0000FF"/>
            <w:u w:val="single"/>
          </w:rPr>
          <w:t>https://www-uptodate-com.york.ezproxy.cuny.edu/contents/kawasaki-disease-initial-treatment-and-prognosis?search=kawasaki%20disease%20in%20pediatrics&amp;source=search_result&amp;selectedTitle=2~150&amp;usage_type=default&amp;display_rank=2</w:t>
        </w:r>
      </w:hyperlink>
    </w:p>
    <w:p w:rsidR="008E3759" w:rsidRPr="00935D30" w:rsidRDefault="00935D30" w:rsidP="00935D30">
      <w:pPr>
        <w:pStyle w:val="ListParagraph"/>
        <w:numPr>
          <w:ilvl w:val="0"/>
          <w:numId w:val="1"/>
        </w:numPr>
        <w:rPr>
          <w:rFonts w:cstheme="minorHAnsi"/>
        </w:rPr>
      </w:pPr>
      <w:hyperlink r:id="rId16" w:history="1">
        <w:r w:rsidRPr="00935D30">
          <w:rPr>
            <w:rStyle w:val="Hyperlink"/>
            <w:rFonts w:cstheme="minorHAnsi"/>
          </w:rPr>
          <w:t>https://www.ncbi.nlm.nih.gov/pubmed/18260321</w:t>
        </w:r>
      </w:hyperlink>
    </w:p>
    <w:p w:rsidR="00403A52" w:rsidRPr="00935D30" w:rsidRDefault="00403A52" w:rsidP="00935D30">
      <w:pPr>
        <w:pStyle w:val="bulletindent1"/>
        <w:shd w:val="clear" w:color="auto" w:fill="FFFFFF"/>
        <w:spacing w:before="0" w:beforeAutospacing="0" w:after="0" w:afterAutospacing="0"/>
        <w:rPr>
          <w:rFonts w:asciiTheme="minorHAnsi" w:hAnsiTheme="minorHAnsi" w:cstheme="minorHAnsi"/>
          <w:color w:val="232323"/>
        </w:rPr>
      </w:pPr>
    </w:p>
    <w:p w:rsidR="00403A52" w:rsidRPr="00935D30" w:rsidRDefault="00403A52" w:rsidP="00935D30">
      <w:pPr>
        <w:rPr>
          <w:rFonts w:cstheme="minorHAnsi"/>
        </w:rPr>
      </w:pPr>
    </w:p>
    <w:p w:rsidR="00403A52" w:rsidRPr="00935D30" w:rsidRDefault="00403A52" w:rsidP="00935D30">
      <w:pPr>
        <w:rPr>
          <w:rFonts w:cstheme="minorHAnsi"/>
          <w:b/>
          <w:bCs/>
        </w:rPr>
      </w:pPr>
    </w:p>
    <w:sectPr w:rsidR="00403A52" w:rsidRPr="00935D30" w:rsidSect="001A2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A731D"/>
    <w:multiLevelType w:val="hybridMultilevel"/>
    <w:tmpl w:val="4F24A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A7C7A"/>
    <w:multiLevelType w:val="hybridMultilevel"/>
    <w:tmpl w:val="6908E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442DC7"/>
    <w:multiLevelType w:val="hybridMultilevel"/>
    <w:tmpl w:val="2D60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936B0F"/>
    <w:multiLevelType w:val="hybridMultilevel"/>
    <w:tmpl w:val="DD9C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BC0C92"/>
    <w:multiLevelType w:val="hybridMultilevel"/>
    <w:tmpl w:val="CA3E40D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A52"/>
    <w:rsid w:val="001A2475"/>
    <w:rsid w:val="001B0611"/>
    <w:rsid w:val="002D04EF"/>
    <w:rsid w:val="00324267"/>
    <w:rsid w:val="00403A52"/>
    <w:rsid w:val="007408B4"/>
    <w:rsid w:val="0078055C"/>
    <w:rsid w:val="008E3759"/>
    <w:rsid w:val="00935D30"/>
    <w:rsid w:val="00A1594A"/>
    <w:rsid w:val="00A279DA"/>
    <w:rsid w:val="00CB4210"/>
    <w:rsid w:val="00D65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4C0B80"/>
  <w15:chartTrackingRefBased/>
  <w15:docId w15:val="{BCBCDE2A-EC70-2342-8FB3-64A8DC214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anchor">
    <w:name w:val="headinganchor"/>
    <w:basedOn w:val="Normal"/>
    <w:rsid w:val="00403A5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03A52"/>
    <w:rPr>
      <w:color w:val="0000FF"/>
      <w:u w:val="single"/>
    </w:rPr>
  </w:style>
  <w:style w:type="paragraph" w:customStyle="1" w:styleId="bulletindent1">
    <w:name w:val="bulletindent1"/>
    <w:basedOn w:val="Normal"/>
    <w:rsid w:val="00403A52"/>
    <w:pPr>
      <w:spacing w:before="100" w:beforeAutospacing="1" w:after="100" w:afterAutospacing="1"/>
    </w:pPr>
    <w:rPr>
      <w:rFonts w:ascii="Times New Roman" w:eastAsia="Times New Roman" w:hAnsi="Times New Roman" w:cs="Times New Roman"/>
    </w:rPr>
  </w:style>
  <w:style w:type="character" w:customStyle="1" w:styleId="glyph">
    <w:name w:val="glyph"/>
    <w:basedOn w:val="DefaultParagraphFont"/>
    <w:rsid w:val="00403A52"/>
  </w:style>
  <w:style w:type="paragraph" w:styleId="ListParagraph">
    <w:name w:val="List Paragraph"/>
    <w:basedOn w:val="Normal"/>
    <w:uiPriority w:val="34"/>
    <w:qFormat/>
    <w:rsid w:val="008E3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795950">
      <w:bodyDiv w:val="1"/>
      <w:marLeft w:val="0"/>
      <w:marRight w:val="0"/>
      <w:marTop w:val="0"/>
      <w:marBottom w:val="0"/>
      <w:divBdr>
        <w:top w:val="none" w:sz="0" w:space="0" w:color="auto"/>
        <w:left w:val="none" w:sz="0" w:space="0" w:color="auto"/>
        <w:bottom w:val="none" w:sz="0" w:space="0" w:color="auto"/>
        <w:right w:val="none" w:sz="0" w:space="0" w:color="auto"/>
      </w:divBdr>
    </w:div>
    <w:div w:id="521165001">
      <w:bodyDiv w:val="1"/>
      <w:marLeft w:val="0"/>
      <w:marRight w:val="0"/>
      <w:marTop w:val="0"/>
      <w:marBottom w:val="0"/>
      <w:divBdr>
        <w:top w:val="none" w:sz="0" w:space="0" w:color="auto"/>
        <w:left w:val="none" w:sz="0" w:space="0" w:color="auto"/>
        <w:bottom w:val="none" w:sz="0" w:space="0" w:color="auto"/>
        <w:right w:val="none" w:sz="0" w:space="0" w:color="auto"/>
      </w:divBdr>
    </w:div>
    <w:div w:id="870267876">
      <w:bodyDiv w:val="1"/>
      <w:marLeft w:val="0"/>
      <w:marRight w:val="0"/>
      <w:marTop w:val="0"/>
      <w:marBottom w:val="0"/>
      <w:divBdr>
        <w:top w:val="none" w:sz="0" w:space="0" w:color="auto"/>
        <w:left w:val="none" w:sz="0" w:space="0" w:color="auto"/>
        <w:bottom w:val="none" w:sz="0" w:space="0" w:color="auto"/>
        <w:right w:val="none" w:sz="0" w:space="0" w:color="auto"/>
      </w:divBdr>
    </w:div>
    <w:div w:id="1526866428">
      <w:bodyDiv w:val="1"/>
      <w:marLeft w:val="0"/>
      <w:marRight w:val="0"/>
      <w:marTop w:val="0"/>
      <w:marBottom w:val="0"/>
      <w:divBdr>
        <w:top w:val="none" w:sz="0" w:space="0" w:color="auto"/>
        <w:left w:val="none" w:sz="0" w:space="0" w:color="auto"/>
        <w:bottom w:val="none" w:sz="0" w:space="0" w:color="auto"/>
        <w:right w:val="none" w:sz="0" w:space="0" w:color="auto"/>
      </w:divBdr>
    </w:div>
    <w:div w:id="1731685765">
      <w:bodyDiv w:val="1"/>
      <w:marLeft w:val="0"/>
      <w:marRight w:val="0"/>
      <w:marTop w:val="0"/>
      <w:marBottom w:val="0"/>
      <w:divBdr>
        <w:top w:val="none" w:sz="0" w:space="0" w:color="auto"/>
        <w:left w:val="none" w:sz="0" w:space="0" w:color="auto"/>
        <w:bottom w:val="none" w:sz="0" w:space="0" w:color="auto"/>
        <w:right w:val="none" w:sz="0" w:space="0" w:color="auto"/>
      </w:divBdr>
    </w:div>
    <w:div w:id="1984236708">
      <w:bodyDiv w:val="1"/>
      <w:marLeft w:val="0"/>
      <w:marRight w:val="0"/>
      <w:marTop w:val="0"/>
      <w:marBottom w:val="0"/>
      <w:divBdr>
        <w:top w:val="none" w:sz="0" w:space="0" w:color="auto"/>
        <w:left w:val="none" w:sz="0" w:space="0" w:color="auto"/>
        <w:bottom w:val="none" w:sz="0" w:space="0" w:color="auto"/>
        <w:right w:val="none" w:sz="0" w:space="0" w:color="auto"/>
      </w:divBdr>
    </w:div>
    <w:div w:id="202377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todate-com.york.ezproxy.cuny.edu/contents/kawasaki-disease-clinical-features-and-diagnosis/abstract/1,2,47" TargetMode="External"/><Relationship Id="rId13" Type="http://schemas.openxmlformats.org/officeDocument/2006/relationships/hyperlink" Target="https://www-uptodate-com.york.ezproxy.cuny.edu/contents/image?imageKey=ALLRG%2F53452&amp;topicKey=ALLRG%2F6417&amp;search=kawasaki+disease+in+pediatrics&amp;rank=1%7E150&amp;source=see_lin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ptodate-com.york.ezproxy.cuny.edu/contents/image?imageKey=PEDS%2F67711&amp;topicKey=ALLRG%2F6417&amp;search=kawasaki+disease+in+pediatrics&amp;rank=1%7E150&amp;source=see_link" TargetMode="External"/><Relationship Id="rId12" Type="http://schemas.openxmlformats.org/officeDocument/2006/relationships/hyperlink" Target="https://www-uptodate-com.york.ezproxy.cuny.edu/contents/image?imageKey=ALLRG%2F72040&amp;topicKey=ALLRG%2F6417&amp;search=kawasaki+disease+in+pediatrics&amp;rank=1%7E150&amp;source=see_lin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cbi.nlm.nih.gov/pubmed/18260321" TargetMode="External"/><Relationship Id="rId1" Type="http://schemas.openxmlformats.org/officeDocument/2006/relationships/numbering" Target="numbering.xml"/><Relationship Id="rId6" Type="http://schemas.openxmlformats.org/officeDocument/2006/relationships/hyperlink" Target="https://www-uptodate-com.york.ezproxy.cuny.edu/contents/kawasaki-disease-clinical-features-and-diagnosis/abstract/2" TargetMode="External"/><Relationship Id="rId11" Type="http://schemas.openxmlformats.org/officeDocument/2006/relationships/hyperlink" Target="https://www-uptodate-com.york.ezproxy.cuny.edu/contents/image?imageKey=ID%2F68321&amp;topicKey=ALLRG%2F6417&amp;search=kawasaki+disease+in+pediatrics&amp;rank=1%7E150&amp;source=see_link" TargetMode="External"/><Relationship Id="rId5" Type="http://schemas.openxmlformats.org/officeDocument/2006/relationships/hyperlink" Target="https://www-uptodate-com.york.ezproxy.cuny.edu/contents/kawasaki-disease-clinical-features-and-diagnosis/abstract/1" TargetMode="External"/><Relationship Id="rId15" Type="http://schemas.openxmlformats.org/officeDocument/2006/relationships/hyperlink" Target="https://www-uptodate-com.york.ezproxy.cuny.edu/contents/kawasaki-disease-initial-treatment-and-prognosis?search=kawasaki%20disease%20in%20pediatrics&amp;source=search_result&amp;selectedTitle=2~150&amp;usage_type=default&amp;display_rank=2" TargetMode="External"/><Relationship Id="rId10" Type="http://schemas.openxmlformats.org/officeDocument/2006/relationships/hyperlink" Target="https://www-uptodate-com.york.ezproxy.cuny.edu/contents/image?imageKey=ALLRG%2F59319&amp;topicKey=ALLRG%2F6417&amp;search=kawasaki+disease+in+pediatrics&amp;rank=1%7E150&amp;source=see_link" TargetMode="External"/><Relationship Id="rId4" Type="http://schemas.openxmlformats.org/officeDocument/2006/relationships/webSettings" Target="webSettings.xml"/><Relationship Id="rId9" Type="http://schemas.openxmlformats.org/officeDocument/2006/relationships/hyperlink" Target="https://www-uptodate-com.york.ezproxy.cuny.edu/contents/image?imageKey=PEDS%2F78898&amp;topicKey=ALLRG%2F6417&amp;search=kawasaki+disease+in+pediatrics&amp;rank=1%7E150&amp;source=see_link" TargetMode="External"/><Relationship Id="rId14" Type="http://schemas.openxmlformats.org/officeDocument/2006/relationships/hyperlink" Target="https://www-uptodate-com.york.ezproxy.cuny.edu/contents/kawasaki-disease-clinical-features-and-diagnosis?search=kawasaki%20disease%20in%20pediatrics&amp;source=search_result&amp;selectedTitle=1~150&amp;usage_type=default&amp;display_ra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Oatman</dc:creator>
  <cp:keywords/>
  <dc:description/>
  <cp:lastModifiedBy>Erik Oatman</cp:lastModifiedBy>
  <cp:revision>2</cp:revision>
  <dcterms:created xsi:type="dcterms:W3CDTF">2020-05-14T00:18:00Z</dcterms:created>
  <dcterms:modified xsi:type="dcterms:W3CDTF">2020-05-14T15:34:00Z</dcterms:modified>
</cp:coreProperties>
</file>